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3485" w:rsidRDefault="00053485" w:rsidP="00053485">
      <w:pPr>
        <w:jc w:val="center"/>
        <w:rPr>
          <w:b/>
          <w:sz w:val="28"/>
          <w:szCs w:val="28"/>
        </w:rPr>
      </w:pPr>
      <w:bookmarkStart w:id="0" w:name="OLE_LINK1"/>
      <w:bookmarkStart w:id="1" w:name="OLE_LINK2"/>
      <w:r>
        <w:rPr>
          <w:b/>
          <w:sz w:val="28"/>
          <w:szCs w:val="28"/>
        </w:rPr>
        <w:t>Performance of Small Grain Varieties in Louisiana, 20</w:t>
      </w:r>
      <w:r w:rsidR="00356EA7">
        <w:rPr>
          <w:b/>
          <w:sz w:val="28"/>
          <w:szCs w:val="28"/>
        </w:rPr>
        <w:t>1</w:t>
      </w:r>
      <w:r w:rsidR="0032594C">
        <w:rPr>
          <w:b/>
          <w:sz w:val="28"/>
          <w:szCs w:val="28"/>
        </w:rPr>
        <w:t>1</w:t>
      </w:r>
      <w:r>
        <w:rPr>
          <w:b/>
          <w:sz w:val="28"/>
          <w:szCs w:val="28"/>
        </w:rPr>
        <w:t>-</w:t>
      </w:r>
      <w:r w:rsidR="00237326">
        <w:rPr>
          <w:b/>
          <w:sz w:val="28"/>
          <w:szCs w:val="28"/>
        </w:rPr>
        <w:t>1</w:t>
      </w:r>
      <w:r w:rsidR="0032594C">
        <w:rPr>
          <w:b/>
          <w:sz w:val="28"/>
          <w:szCs w:val="28"/>
        </w:rPr>
        <w:t>2</w:t>
      </w:r>
    </w:p>
    <w:p w:rsidR="00053485" w:rsidRDefault="00053485" w:rsidP="00053485"/>
    <w:p w:rsidR="009F7476" w:rsidRDefault="009F7476" w:rsidP="009F7476">
      <w:pPr>
        <w:autoSpaceDE w:val="0"/>
        <w:autoSpaceDN w:val="0"/>
        <w:adjustRightInd w:val="0"/>
        <w:rPr>
          <w:sz w:val="20"/>
          <w:szCs w:val="20"/>
        </w:rPr>
      </w:pPr>
      <w:r>
        <w:rPr>
          <w:sz w:val="20"/>
          <w:szCs w:val="20"/>
        </w:rPr>
        <w:t>Stephen A. Harrison</w:t>
      </w:r>
      <w:r w:rsidRPr="001C0AFF">
        <w:rPr>
          <w:sz w:val="20"/>
          <w:szCs w:val="20"/>
          <w:vertAlign w:val="superscript"/>
        </w:rPr>
        <w:t>1</w:t>
      </w:r>
      <w:r>
        <w:rPr>
          <w:sz w:val="20"/>
          <w:szCs w:val="20"/>
        </w:rPr>
        <w:t>, Kelly Arceneaux</w:t>
      </w:r>
      <w:r w:rsidRPr="001C0AFF">
        <w:rPr>
          <w:sz w:val="20"/>
          <w:szCs w:val="20"/>
          <w:vertAlign w:val="superscript"/>
        </w:rPr>
        <w:t>1</w:t>
      </w:r>
      <w:r>
        <w:rPr>
          <w:sz w:val="20"/>
          <w:szCs w:val="20"/>
        </w:rPr>
        <w:t>, Lucas Bissett</w:t>
      </w:r>
      <w:r w:rsidRPr="001C0AFF">
        <w:rPr>
          <w:sz w:val="20"/>
          <w:szCs w:val="20"/>
          <w:vertAlign w:val="superscript"/>
        </w:rPr>
        <w:t>1</w:t>
      </w:r>
      <w:r>
        <w:rPr>
          <w:sz w:val="20"/>
          <w:szCs w:val="20"/>
        </w:rPr>
        <w:t>, S. Brooks Blanche</w:t>
      </w:r>
      <w:r w:rsidRPr="001C0AFF">
        <w:rPr>
          <w:sz w:val="20"/>
          <w:szCs w:val="20"/>
          <w:vertAlign w:val="superscript"/>
        </w:rPr>
        <w:t>5</w:t>
      </w:r>
      <w:r>
        <w:rPr>
          <w:sz w:val="20"/>
          <w:szCs w:val="20"/>
        </w:rPr>
        <w:t xml:space="preserve">, </w:t>
      </w:r>
      <w:proofErr w:type="spellStart"/>
      <w:r>
        <w:rPr>
          <w:sz w:val="20"/>
          <w:szCs w:val="20"/>
        </w:rPr>
        <w:t>Tafi</w:t>
      </w:r>
      <w:proofErr w:type="spellEnd"/>
      <w:r>
        <w:rPr>
          <w:sz w:val="20"/>
          <w:szCs w:val="20"/>
        </w:rPr>
        <w:t xml:space="preserve"> Brown</w:t>
      </w:r>
      <w:r w:rsidRPr="001C0AFF">
        <w:rPr>
          <w:sz w:val="20"/>
          <w:szCs w:val="20"/>
          <w:vertAlign w:val="superscript"/>
        </w:rPr>
        <w:t>2</w:t>
      </w:r>
      <w:r>
        <w:rPr>
          <w:sz w:val="20"/>
          <w:szCs w:val="20"/>
        </w:rPr>
        <w:t>, Grayson Close</w:t>
      </w:r>
      <w:r w:rsidRPr="001C0AFF">
        <w:rPr>
          <w:sz w:val="20"/>
          <w:szCs w:val="20"/>
          <w:vertAlign w:val="superscript"/>
        </w:rPr>
        <w:t>5</w:t>
      </w:r>
      <w:r>
        <w:rPr>
          <w:sz w:val="20"/>
          <w:szCs w:val="20"/>
        </w:rPr>
        <w:t>,</w:t>
      </w:r>
    </w:p>
    <w:p w:rsidR="009F7476" w:rsidRDefault="009F7476" w:rsidP="009F7476">
      <w:pPr>
        <w:autoSpaceDE w:val="0"/>
        <w:autoSpaceDN w:val="0"/>
        <w:adjustRightInd w:val="0"/>
        <w:rPr>
          <w:sz w:val="20"/>
          <w:szCs w:val="20"/>
        </w:rPr>
      </w:pPr>
      <w:r>
        <w:rPr>
          <w:sz w:val="20"/>
          <w:szCs w:val="20"/>
        </w:rPr>
        <w:t>Patrick D. Colyer</w:t>
      </w:r>
      <w:r w:rsidRPr="001C0AFF">
        <w:rPr>
          <w:sz w:val="20"/>
          <w:szCs w:val="20"/>
          <w:vertAlign w:val="superscript"/>
        </w:rPr>
        <w:t>4</w:t>
      </w:r>
      <w:r>
        <w:rPr>
          <w:sz w:val="20"/>
          <w:szCs w:val="20"/>
        </w:rPr>
        <w:t>, Mildred Deloach</w:t>
      </w:r>
      <w:r w:rsidRPr="001C0AFF">
        <w:rPr>
          <w:sz w:val="20"/>
          <w:szCs w:val="20"/>
          <w:vertAlign w:val="superscript"/>
        </w:rPr>
        <w:t>5</w:t>
      </w:r>
      <w:r>
        <w:rPr>
          <w:sz w:val="20"/>
          <w:szCs w:val="20"/>
        </w:rPr>
        <w:t>, Jacob Fluitt</w:t>
      </w:r>
      <w:r w:rsidRPr="001C0AFF">
        <w:rPr>
          <w:sz w:val="20"/>
          <w:szCs w:val="20"/>
          <w:vertAlign w:val="superscript"/>
        </w:rPr>
        <w:t>3</w:t>
      </w:r>
      <w:r>
        <w:rPr>
          <w:sz w:val="20"/>
          <w:szCs w:val="20"/>
        </w:rPr>
        <w:t>, Don Groth</w:t>
      </w:r>
      <w:r w:rsidRPr="001C0AFF">
        <w:rPr>
          <w:sz w:val="20"/>
          <w:szCs w:val="20"/>
          <w:vertAlign w:val="superscript"/>
        </w:rPr>
        <w:t>3</w:t>
      </w:r>
      <w:r>
        <w:rPr>
          <w:sz w:val="20"/>
          <w:szCs w:val="20"/>
        </w:rPr>
        <w:t>, Dustin Harrell</w:t>
      </w:r>
      <w:r w:rsidRPr="001C0AFF">
        <w:rPr>
          <w:sz w:val="20"/>
          <w:szCs w:val="20"/>
          <w:vertAlign w:val="superscript"/>
        </w:rPr>
        <w:t>3</w:t>
      </w:r>
      <w:r>
        <w:rPr>
          <w:sz w:val="20"/>
          <w:szCs w:val="20"/>
        </w:rPr>
        <w:t>, James Leonards</w:t>
      </w:r>
      <w:r w:rsidRPr="001C0AFF">
        <w:rPr>
          <w:sz w:val="20"/>
          <w:szCs w:val="20"/>
          <w:vertAlign w:val="superscript"/>
        </w:rPr>
        <w:t>3</w:t>
      </w:r>
      <w:r>
        <w:rPr>
          <w:sz w:val="20"/>
          <w:szCs w:val="20"/>
        </w:rPr>
        <w:t>, H.J.</w:t>
      </w:r>
    </w:p>
    <w:p w:rsidR="009F7476" w:rsidRDefault="009F7476" w:rsidP="009F7476">
      <w:pPr>
        <w:autoSpaceDE w:val="0"/>
        <w:autoSpaceDN w:val="0"/>
        <w:adjustRightInd w:val="0"/>
        <w:rPr>
          <w:sz w:val="20"/>
          <w:szCs w:val="20"/>
        </w:rPr>
      </w:pPr>
      <w:r>
        <w:rPr>
          <w:sz w:val="20"/>
          <w:szCs w:val="20"/>
        </w:rPr>
        <w:t>"Rick" Mascagni</w:t>
      </w:r>
      <w:r w:rsidRPr="001C0AFF">
        <w:rPr>
          <w:sz w:val="20"/>
          <w:szCs w:val="20"/>
          <w:vertAlign w:val="superscript"/>
        </w:rPr>
        <w:t>2</w:t>
      </w:r>
      <w:r>
        <w:rPr>
          <w:sz w:val="20"/>
          <w:szCs w:val="20"/>
        </w:rPr>
        <w:t>, Katie McCarthy</w:t>
      </w:r>
      <w:r w:rsidRPr="001C0AFF">
        <w:rPr>
          <w:sz w:val="20"/>
          <w:szCs w:val="20"/>
          <w:vertAlign w:val="superscript"/>
        </w:rPr>
        <w:t>1</w:t>
      </w:r>
      <w:r>
        <w:rPr>
          <w:sz w:val="20"/>
          <w:szCs w:val="20"/>
        </w:rPr>
        <w:t>, G. Boyd Padgett</w:t>
      </w:r>
      <w:r w:rsidRPr="001C0AFF">
        <w:rPr>
          <w:sz w:val="20"/>
          <w:szCs w:val="20"/>
          <w:vertAlign w:val="superscript"/>
        </w:rPr>
        <w:t>6</w:t>
      </w:r>
      <w:r>
        <w:rPr>
          <w:sz w:val="20"/>
          <w:szCs w:val="20"/>
        </w:rPr>
        <w:t>, Myra Purvis</w:t>
      </w:r>
      <w:r w:rsidRPr="001C0AFF">
        <w:rPr>
          <w:sz w:val="20"/>
          <w:szCs w:val="20"/>
          <w:vertAlign w:val="superscript"/>
        </w:rPr>
        <w:t>6</w:t>
      </w:r>
      <w:r>
        <w:rPr>
          <w:sz w:val="20"/>
          <w:szCs w:val="20"/>
        </w:rPr>
        <w:t>, Ronald Regan</w:t>
      </w:r>
      <w:r w:rsidRPr="001C0AFF">
        <w:rPr>
          <w:sz w:val="20"/>
          <w:szCs w:val="20"/>
          <w:vertAlign w:val="superscript"/>
        </w:rPr>
        <w:t>3</w:t>
      </w:r>
      <w:r>
        <w:rPr>
          <w:sz w:val="20"/>
          <w:szCs w:val="20"/>
        </w:rPr>
        <w:t>, H.P. "Sonny"</w:t>
      </w:r>
    </w:p>
    <w:p w:rsidR="00053485" w:rsidRDefault="009F7476" w:rsidP="009F7476">
      <w:pPr>
        <w:jc w:val="center"/>
        <w:rPr>
          <w:sz w:val="20"/>
          <w:szCs w:val="20"/>
          <w:vertAlign w:val="superscript"/>
        </w:rPr>
      </w:pPr>
      <w:r>
        <w:rPr>
          <w:sz w:val="20"/>
          <w:szCs w:val="20"/>
        </w:rPr>
        <w:t>Viator</w:t>
      </w:r>
      <w:r w:rsidRPr="001C0AFF">
        <w:rPr>
          <w:sz w:val="20"/>
          <w:szCs w:val="20"/>
          <w:vertAlign w:val="superscript"/>
        </w:rPr>
        <w:t>7</w:t>
      </w:r>
      <w:r>
        <w:rPr>
          <w:sz w:val="20"/>
          <w:szCs w:val="20"/>
        </w:rPr>
        <w:t>, and Greg Williams</w:t>
      </w:r>
      <w:r w:rsidRPr="001C0AFF">
        <w:rPr>
          <w:spacing w:val="-20"/>
          <w:sz w:val="20"/>
          <w:szCs w:val="20"/>
          <w:vertAlign w:val="superscript"/>
        </w:rPr>
        <w:t>7</w:t>
      </w:r>
    </w:p>
    <w:p w:rsidR="00053485" w:rsidRDefault="00053485" w:rsidP="00053485">
      <w:pPr>
        <w:rPr>
          <w:b/>
        </w:rPr>
      </w:pPr>
    </w:p>
    <w:p w:rsidR="00053485" w:rsidRDefault="00053485" w:rsidP="00053485">
      <w:pPr>
        <w:rPr>
          <w:b/>
          <w:smallCaps/>
        </w:rPr>
      </w:pPr>
      <w:r>
        <w:rPr>
          <w:b/>
          <w:smallCaps/>
        </w:rPr>
        <w:t>Introduction</w:t>
      </w:r>
    </w:p>
    <w:p w:rsidR="00053485" w:rsidRDefault="00053485" w:rsidP="00053485">
      <w:r>
        <w:tab/>
        <w:t>Small grain variety trials are conducted annually by scientists of the Louisiana Agricultural Experiment Station (LAES) to evaluate grain yield, agronomic performance, and disease reaction of varieties and advanced lines.  The trials are conducted at seven LAES research stations representative of the major soil and climate regions of the state</w:t>
      </w:r>
      <w:r w:rsidR="0040353D">
        <w:t>.</w:t>
      </w:r>
      <w:r>
        <w:t xml:space="preserve">   Entries are included in the trials based upon previous performance or at the request of the originating agency.  Inclusion of an entry in the trials does not constitute an endorsement by the LAES.  The 20</w:t>
      </w:r>
      <w:r w:rsidR="0040353D">
        <w:t>1</w:t>
      </w:r>
      <w:r w:rsidR="00ED7FD9">
        <w:t>2</w:t>
      </w:r>
      <w:r w:rsidR="0040353D">
        <w:t xml:space="preserve"> </w:t>
      </w:r>
      <w:r>
        <w:t xml:space="preserve">statewide wheat performance trials included </w:t>
      </w:r>
      <w:r w:rsidR="00DC097C">
        <w:t>69</w:t>
      </w:r>
      <w:r>
        <w:t xml:space="preserve"> varieties (bold font) and experimental lines (normal font). </w:t>
      </w:r>
    </w:p>
    <w:p w:rsidR="00053485" w:rsidRDefault="00053485" w:rsidP="00053485"/>
    <w:p w:rsidR="00053485" w:rsidRDefault="00053485" w:rsidP="00053485">
      <w:r>
        <w:tab/>
        <w:t xml:space="preserve">New entries in the statewide trials are tested at all locations, but may be dropped from a region if they show little potential in that area.  South Louisiana consists of the Baton Rouge, Crowley, and Jeanerette locations; whereas North Louisiana consists of locations at Alexandria, Bossier City, St. Joseph, and Winnsboro.  </w:t>
      </w:r>
      <w:r w:rsidR="00105B3D">
        <w:t>Wheat and oat d</w:t>
      </w:r>
      <w:r w:rsidR="00EE6C24">
        <w:t xml:space="preserve">ata </w:t>
      </w:r>
      <w:r w:rsidR="000C73B6">
        <w:t xml:space="preserve">were not collected </w:t>
      </w:r>
      <w:r w:rsidR="00EE6C24">
        <w:t xml:space="preserve">from the </w:t>
      </w:r>
      <w:r w:rsidR="00105B3D">
        <w:t xml:space="preserve">Alexandria, </w:t>
      </w:r>
      <w:r w:rsidR="000C73B6">
        <w:t>Bossier City</w:t>
      </w:r>
      <w:r w:rsidR="00105B3D">
        <w:t>,</w:t>
      </w:r>
      <w:r w:rsidR="000C73B6">
        <w:t xml:space="preserve"> </w:t>
      </w:r>
      <w:r w:rsidR="00105B3D">
        <w:t xml:space="preserve">Crowley and Jeanerette </w:t>
      </w:r>
      <w:r w:rsidR="000C73B6">
        <w:t>location</w:t>
      </w:r>
      <w:r w:rsidR="00105B3D">
        <w:t>s</w:t>
      </w:r>
      <w:r w:rsidR="008652A7">
        <w:t>.</w:t>
      </w:r>
      <w:r w:rsidR="000C73B6">
        <w:t xml:space="preserve"> </w:t>
      </w:r>
      <w:r w:rsidR="00105B3D">
        <w:t xml:space="preserve">Wheat data were not collected in Baton Rouge.  </w:t>
      </w:r>
      <w:r w:rsidR="00EE6C24">
        <w:t>W</w:t>
      </w:r>
      <w:r>
        <w:t>hen choosing varieties, growers should consult their local LCES agents</w:t>
      </w:r>
      <w:r w:rsidR="0040353D">
        <w:t xml:space="preserve"> and choose varieties based on two year data within a region, not based on a single year or location</w:t>
      </w:r>
      <w:r>
        <w:t>.  Growers should also consider specific data from the LAES variety trial location that most closely match</w:t>
      </w:r>
      <w:r w:rsidR="0040353D">
        <w:t>es</w:t>
      </w:r>
      <w:r>
        <w:t xml:space="preserve"> the weather and soil conditions of their farm and should avoid growing a single variety on a large acreage.  Growing several varieties will help ensure that the entire crop is not severely damaged by chance occurrences in weather or by shifts in pathogen </w:t>
      </w:r>
      <w:r w:rsidR="0040353D">
        <w:t xml:space="preserve">or pest </w:t>
      </w:r>
      <w:r>
        <w:t xml:space="preserve">races or virulence patterns.  Yield, test weight, maturity, and disease resistance are important traits to consider when selecting varieties.  If a grower plans to plant wheat early, he should avoid varieties that have a very early heading date </w:t>
      </w:r>
      <w:r w:rsidR="0040353D">
        <w:t xml:space="preserve">in order </w:t>
      </w:r>
      <w:r>
        <w:t xml:space="preserve">to reduce the danger of freeze damage.   </w:t>
      </w:r>
    </w:p>
    <w:p w:rsidR="00053485" w:rsidRDefault="00053485" w:rsidP="00053485">
      <w:pPr>
        <w:ind w:firstLine="720"/>
      </w:pPr>
    </w:p>
    <w:p w:rsidR="00053485" w:rsidRDefault="00053485" w:rsidP="00053485">
      <w:pPr>
        <w:ind w:firstLine="720"/>
      </w:pPr>
      <w:r>
        <w:t xml:space="preserve">Specific management and cultural practices for a location are presented at the bottom of the tables, along with unusual or key observations about that test.  Rainfall and temperature information for each location is presented in Figure 1.  All plots were seeded at the recommended rate with seed provided by the originating agency or company (Appendix A).      </w:t>
      </w:r>
    </w:p>
    <w:p w:rsidR="00053485" w:rsidRDefault="00053485" w:rsidP="00053485">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pPr>
      <w:r>
        <w:tab/>
      </w:r>
      <w:r w:rsidR="00E43EBA">
        <w:rPr>
          <w:noProof/>
        </w:rPr>
        <mc:AlternateContent>
          <mc:Choice Requires="wps">
            <w:drawing>
              <wp:anchor distT="0" distB="0" distL="114300" distR="114300" simplePos="0" relativeHeight="251655680" behindDoc="0" locked="0" layoutInCell="1" allowOverlap="1" wp14:anchorId="679765C7" wp14:editId="3628800D">
                <wp:simplePos x="0" y="0"/>
                <wp:positionH relativeFrom="column">
                  <wp:posOffset>0</wp:posOffset>
                </wp:positionH>
                <wp:positionV relativeFrom="paragraph">
                  <wp:posOffset>31750</wp:posOffset>
                </wp:positionV>
                <wp:extent cx="5829300" cy="0"/>
                <wp:effectExtent l="9525" t="12700" r="9525" b="6350"/>
                <wp:wrapNone/>
                <wp:docPr id="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pt" to="459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MW+EgIAACg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"/>
            </w:pict>
          </mc:Fallback>
        </mc:AlternateContent>
      </w:r>
    </w:p>
    <w:bookmarkEnd w:id="0"/>
    <w:bookmarkEnd w:id="1"/>
    <w:p w:rsidR="009F7476" w:rsidRDefault="009F7476" w:rsidP="009F7476">
      <w:pPr>
        <w:autoSpaceDE w:val="0"/>
        <w:autoSpaceDN w:val="0"/>
        <w:adjustRightInd w:val="0"/>
        <w:rPr>
          <w:sz w:val="16"/>
          <w:szCs w:val="16"/>
        </w:rPr>
      </w:pPr>
      <w:r>
        <w:rPr>
          <w:sz w:val="16"/>
          <w:szCs w:val="16"/>
        </w:rPr>
        <w:t>1 Professor and variety trial coordinator, Research Associate, Research Associate, and Research Farm Assistant 2, respectively.</w:t>
      </w:r>
    </w:p>
    <w:p w:rsidR="009F7476" w:rsidRDefault="009F7476" w:rsidP="009F7476">
      <w:pPr>
        <w:autoSpaceDE w:val="0"/>
        <w:autoSpaceDN w:val="0"/>
        <w:adjustRightInd w:val="0"/>
        <w:rPr>
          <w:sz w:val="16"/>
          <w:szCs w:val="16"/>
        </w:rPr>
      </w:pPr>
      <w:r>
        <w:rPr>
          <w:sz w:val="16"/>
          <w:szCs w:val="16"/>
        </w:rPr>
        <w:t xml:space="preserve">           SPESS Department, Baton Rouge.</w:t>
      </w:r>
    </w:p>
    <w:p w:rsidR="009F7476" w:rsidRDefault="009F7476" w:rsidP="009F7476">
      <w:pPr>
        <w:autoSpaceDE w:val="0"/>
        <w:autoSpaceDN w:val="0"/>
        <w:adjustRightInd w:val="0"/>
        <w:rPr>
          <w:sz w:val="18"/>
          <w:szCs w:val="18"/>
        </w:rPr>
      </w:pPr>
      <w:r>
        <w:rPr>
          <w:sz w:val="16"/>
          <w:szCs w:val="16"/>
        </w:rPr>
        <w:t>2 Research Farm Assistant, and Professor , respectively, Northeast Research Station, St. Joseph</w:t>
      </w:r>
      <w:r>
        <w:rPr>
          <w:sz w:val="18"/>
          <w:szCs w:val="18"/>
        </w:rPr>
        <w:t>.</w:t>
      </w:r>
    </w:p>
    <w:p w:rsidR="009F7476" w:rsidRDefault="009F7476" w:rsidP="009F7476">
      <w:pPr>
        <w:autoSpaceDE w:val="0"/>
        <w:autoSpaceDN w:val="0"/>
        <w:adjustRightInd w:val="0"/>
        <w:rPr>
          <w:sz w:val="16"/>
          <w:szCs w:val="16"/>
        </w:rPr>
      </w:pPr>
      <w:r>
        <w:rPr>
          <w:sz w:val="16"/>
          <w:szCs w:val="16"/>
        </w:rPr>
        <w:t>3 Research Associate, Professor, Associate Professor, and Research Associates, respectively. Rice Research Station, Crowley.</w:t>
      </w:r>
    </w:p>
    <w:p w:rsidR="009F7476" w:rsidRDefault="009F7476" w:rsidP="009F7476">
      <w:pPr>
        <w:autoSpaceDE w:val="0"/>
        <w:autoSpaceDN w:val="0"/>
        <w:adjustRightInd w:val="0"/>
        <w:rPr>
          <w:sz w:val="16"/>
          <w:szCs w:val="16"/>
        </w:rPr>
      </w:pPr>
      <w:r>
        <w:rPr>
          <w:sz w:val="16"/>
          <w:szCs w:val="16"/>
        </w:rPr>
        <w:t>4 Professor, and Research Associate, respectively. Red River Research Station, Bossier City.</w:t>
      </w:r>
    </w:p>
    <w:p w:rsidR="009F7476" w:rsidRDefault="009F7476" w:rsidP="009F7476">
      <w:pPr>
        <w:autoSpaceDE w:val="0"/>
        <w:autoSpaceDN w:val="0"/>
        <w:adjustRightInd w:val="0"/>
        <w:rPr>
          <w:sz w:val="16"/>
          <w:szCs w:val="16"/>
        </w:rPr>
      </w:pPr>
      <w:r>
        <w:rPr>
          <w:sz w:val="16"/>
          <w:szCs w:val="16"/>
        </w:rPr>
        <w:t>5 Assistant Professor and Research Associates, respectively, Dean Lee Research Station, Alexandria.</w:t>
      </w:r>
    </w:p>
    <w:p w:rsidR="009F7476" w:rsidRDefault="009F7476" w:rsidP="009F7476">
      <w:pPr>
        <w:autoSpaceDE w:val="0"/>
        <w:autoSpaceDN w:val="0"/>
        <w:adjustRightInd w:val="0"/>
        <w:rPr>
          <w:sz w:val="16"/>
          <w:szCs w:val="16"/>
        </w:rPr>
      </w:pPr>
      <w:r>
        <w:rPr>
          <w:sz w:val="16"/>
          <w:szCs w:val="16"/>
        </w:rPr>
        <w:t xml:space="preserve">6 </w:t>
      </w:r>
      <w:r w:rsidR="00262A7B">
        <w:rPr>
          <w:sz w:val="16"/>
          <w:szCs w:val="16"/>
        </w:rPr>
        <w:t xml:space="preserve">Regional Director, Central </w:t>
      </w:r>
      <w:proofErr w:type="gramStart"/>
      <w:r w:rsidR="00262A7B">
        <w:rPr>
          <w:sz w:val="16"/>
          <w:szCs w:val="16"/>
        </w:rPr>
        <w:t xml:space="preserve">Region </w:t>
      </w:r>
      <w:r>
        <w:rPr>
          <w:sz w:val="16"/>
          <w:szCs w:val="16"/>
        </w:rPr>
        <w:t xml:space="preserve"> and</w:t>
      </w:r>
      <w:proofErr w:type="gramEnd"/>
      <w:r>
        <w:rPr>
          <w:sz w:val="16"/>
          <w:szCs w:val="16"/>
        </w:rPr>
        <w:t xml:space="preserve"> Research Associate</w:t>
      </w:r>
      <w:r w:rsidR="000B3EEE">
        <w:rPr>
          <w:sz w:val="16"/>
          <w:szCs w:val="16"/>
        </w:rPr>
        <w:t xml:space="preserve">, </w:t>
      </w:r>
      <w:r>
        <w:rPr>
          <w:sz w:val="16"/>
          <w:szCs w:val="16"/>
        </w:rPr>
        <w:t>Macon Ridge Research Station, Winnsboro.</w:t>
      </w:r>
    </w:p>
    <w:p w:rsidR="009F7476" w:rsidRDefault="009F7476" w:rsidP="009F7476">
      <w:pPr>
        <w:autoSpaceDE w:val="0"/>
        <w:autoSpaceDN w:val="0"/>
        <w:adjustRightInd w:val="0"/>
        <w:rPr>
          <w:sz w:val="16"/>
          <w:szCs w:val="16"/>
        </w:rPr>
      </w:pPr>
      <w:r>
        <w:rPr>
          <w:sz w:val="16"/>
          <w:szCs w:val="16"/>
        </w:rPr>
        <w:t>7 Professor and Research Associate. Iberia Research Station, Jeanerette.</w:t>
      </w:r>
    </w:p>
    <w:p w:rsidR="009F7476" w:rsidRDefault="009F7476" w:rsidP="009F7476">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1080"/>
        <w:rPr>
          <w:b/>
          <w:bCs/>
        </w:rPr>
      </w:pPr>
    </w:p>
    <w:p w:rsidR="009F7476" w:rsidRDefault="009F7476" w:rsidP="009F7476">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1080"/>
        <w:rPr>
          <w:b/>
          <w:bCs/>
        </w:rPr>
      </w:pPr>
    </w:p>
    <w:p w:rsidR="009F7476" w:rsidRDefault="009F7476" w:rsidP="009F7476">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1080"/>
        <w:rPr>
          <w:b/>
          <w:bCs/>
        </w:rPr>
      </w:pPr>
    </w:p>
    <w:p w:rsidR="009F7476" w:rsidRDefault="009F7476" w:rsidP="009F7476">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1080"/>
        <w:rPr>
          <w:b/>
          <w:bCs/>
        </w:rPr>
      </w:pPr>
    </w:p>
    <w:p w:rsidR="00D463B1" w:rsidRDefault="009F7476" w:rsidP="009F7476">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1080"/>
        <w:rPr>
          <w:b/>
          <w:bCs/>
        </w:rPr>
      </w:pPr>
      <w:r>
        <w:rPr>
          <w:b/>
          <w:bCs/>
        </w:rPr>
        <w:tab/>
      </w:r>
    </w:p>
    <w:p w:rsidR="00D463B1" w:rsidRDefault="00D463B1" w:rsidP="009F7476">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1080"/>
        <w:rPr>
          <w:b/>
          <w:bCs/>
        </w:rPr>
      </w:pPr>
    </w:p>
    <w:p w:rsidR="00053485" w:rsidRDefault="00D463B1" w:rsidP="00D463B1">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1080"/>
        <w:jc w:val="both"/>
      </w:pPr>
      <w:r>
        <w:rPr>
          <w:b/>
          <w:bCs/>
        </w:rPr>
        <w:t xml:space="preserve">      </w:t>
      </w:r>
      <w:r w:rsidR="00053485">
        <w:rPr>
          <w:b/>
          <w:bCs/>
        </w:rPr>
        <w:t xml:space="preserve">Characters Evaluated and Statistics Reported: </w:t>
      </w:r>
    </w:p>
    <w:p w:rsidR="00053485" w:rsidRDefault="00053485" w:rsidP="00053485">
      <w:pPr>
        <w:tabs>
          <w:tab w:val="left" w:pos="360"/>
        </w:tabs>
      </w:pPr>
      <w:r>
        <w:tab/>
        <w:t xml:space="preserve">Data are collected on grain yield, test weight, heading and maturity dates, plant height, lodging, and disease reaction, as appropriate at each location.  Grain yield was adjusted to 13% moisture.  </w:t>
      </w:r>
      <w:r>
        <w:rPr>
          <w:b/>
          <w:bCs/>
        </w:rPr>
        <w:t>Least significant differences (LSD's)</w:t>
      </w:r>
      <w:r>
        <w:t xml:space="preserve"> are reported at the 10% probability level.  An LSD of 10% probability (α=0.10) is the level of difference in a trait that occurs between two varieties once in every 10 comparisons  as a result of random chance due to greater soil fertility, better drainage, slightly greater harvest length, or any other "uncontrollable or </w:t>
      </w:r>
      <w:proofErr w:type="spellStart"/>
      <w:r>
        <w:t>unmeasurable</w:t>
      </w:r>
      <w:proofErr w:type="spellEnd"/>
      <w:r>
        <w:t xml:space="preserve"> factors," even if the varieties had the same genetic yield potential.   If the LSD (0.10) for yield in a trial is 7.0 </w:t>
      </w:r>
      <w:proofErr w:type="spellStart"/>
      <w:r>
        <w:t>bu</w:t>
      </w:r>
      <w:proofErr w:type="spellEnd"/>
      <w:r>
        <w:t xml:space="preserve">/a, there is a 10% chance that two varieties with a reported yield difference of 7.0 </w:t>
      </w:r>
      <w:proofErr w:type="spellStart"/>
      <w:r>
        <w:t>bu</w:t>
      </w:r>
      <w:proofErr w:type="spellEnd"/>
      <w:r>
        <w:t>/acre are genetically equal and a 90% probability they have differences in genetic potential in that particular environment.  LSD values are influenced by the degree of precision that soil fertility, stand establishment, plot length, harvest efficiency, and other variables of the trials are controlled, and by the number of replications of each variety or treatment. The letters '</w:t>
      </w:r>
      <w:r>
        <w:rPr>
          <w:b/>
          <w:bCs/>
        </w:rPr>
        <w:t>ns</w:t>
      </w:r>
      <w:r>
        <w:t>' are used in the text and tables to indicate lack of significance (</w:t>
      </w:r>
      <w:r>
        <w:rPr>
          <w:b/>
          <w:bCs/>
        </w:rPr>
        <w:t>not</w:t>
      </w:r>
      <w:r>
        <w:t xml:space="preserve"> </w:t>
      </w:r>
      <w:r>
        <w:rPr>
          <w:b/>
          <w:bCs/>
        </w:rPr>
        <w:t>significantly different</w:t>
      </w:r>
      <w:r>
        <w:t xml:space="preserve">) at the 10% probability level.  Correlations are sometimes given to indicate the degree to which two traits, such as rust rating and yield, are related.  A correlation between rust rating and yield of r = -1.0 would indicate that for every unit increase in rust there was a proportional decrease in yield.  </w:t>
      </w:r>
    </w:p>
    <w:p w:rsidR="00053485" w:rsidRDefault="00053485" w:rsidP="00053485">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b/>
        <w:t>Wheat leaf rust (</w:t>
      </w:r>
      <w:proofErr w:type="spellStart"/>
      <w:r>
        <w:rPr>
          <w:i/>
          <w:iCs/>
        </w:rPr>
        <w:t>Puccinia</w:t>
      </w:r>
      <w:proofErr w:type="spellEnd"/>
      <w:r>
        <w:rPr>
          <w:i/>
          <w:iCs/>
        </w:rPr>
        <w:t xml:space="preserve"> </w:t>
      </w:r>
      <w:proofErr w:type="spellStart"/>
      <w:r>
        <w:rPr>
          <w:i/>
          <w:iCs/>
        </w:rPr>
        <w:t>triticina</w:t>
      </w:r>
      <w:proofErr w:type="spellEnd"/>
      <w:r>
        <w:t>), stripe rust (</w:t>
      </w:r>
      <w:proofErr w:type="spellStart"/>
      <w:r>
        <w:rPr>
          <w:i/>
        </w:rPr>
        <w:t>Puccinia</w:t>
      </w:r>
      <w:proofErr w:type="spellEnd"/>
      <w:r>
        <w:rPr>
          <w:i/>
        </w:rPr>
        <w:t xml:space="preserve"> </w:t>
      </w:r>
      <w:proofErr w:type="spellStart"/>
      <w:r>
        <w:rPr>
          <w:i/>
        </w:rPr>
        <w:t>striiformis</w:t>
      </w:r>
      <w:proofErr w:type="spellEnd"/>
      <w:r>
        <w:t>), and oat crown rust (</w:t>
      </w:r>
      <w:proofErr w:type="spellStart"/>
      <w:r>
        <w:rPr>
          <w:i/>
          <w:iCs/>
        </w:rPr>
        <w:t>Puccinia</w:t>
      </w:r>
      <w:proofErr w:type="spellEnd"/>
      <w:r>
        <w:rPr>
          <w:i/>
          <w:iCs/>
        </w:rPr>
        <w:t xml:space="preserve"> </w:t>
      </w:r>
      <w:proofErr w:type="spellStart"/>
      <w:r>
        <w:rPr>
          <w:i/>
          <w:iCs/>
        </w:rPr>
        <w:t>coronata</w:t>
      </w:r>
      <w:proofErr w:type="spellEnd"/>
      <w:r>
        <w:t>) are reported as percentage of the upper t</w:t>
      </w:r>
      <w:r w:rsidR="006C7C5D">
        <w:t>wo</w:t>
      </w:r>
      <w:r>
        <w:t xml:space="preserve"> leaves affected by the disease.  Two replications are evaluated for leaf rust, between flowering and the early dough stage of kernel development.  Wheat and oat stem rust (</w:t>
      </w:r>
      <w:proofErr w:type="spellStart"/>
      <w:r>
        <w:rPr>
          <w:i/>
          <w:iCs/>
        </w:rPr>
        <w:t>Puccinia</w:t>
      </w:r>
      <w:proofErr w:type="spellEnd"/>
      <w:r>
        <w:rPr>
          <w:i/>
          <w:iCs/>
        </w:rPr>
        <w:t xml:space="preserve"> </w:t>
      </w:r>
      <w:proofErr w:type="spellStart"/>
      <w:r>
        <w:rPr>
          <w:i/>
          <w:iCs/>
        </w:rPr>
        <w:t>graminis</w:t>
      </w:r>
      <w:proofErr w:type="spellEnd"/>
      <w:r>
        <w:t>) are reported on a scale of 0-9, where a 0 indicates no disease and a 9 indicates that the plant was killed by the disease.  Stem rust is normally rated somewhat later than leaf rust.</w:t>
      </w:r>
    </w:p>
    <w:p w:rsidR="00053485" w:rsidRDefault="00053485" w:rsidP="00053485">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b/>
        <w:t>Bacterial streak (</w:t>
      </w:r>
      <w:proofErr w:type="spellStart"/>
      <w:r>
        <w:rPr>
          <w:i/>
          <w:iCs/>
        </w:rPr>
        <w:t>Xanthomonas</w:t>
      </w:r>
      <w:proofErr w:type="spellEnd"/>
      <w:r>
        <w:rPr>
          <w:i/>
          <w:iCs/>
        </w:rPr>
        <w:t xml:space="preserve"> </w:t>
      </w:r>
      <w:proofErr w:type="spellStart"/>
      <w:r>
        <w:rPr>
          <w:i/>
          <w:iCs/>
        </w:rPr>
        <w:t>campestris</w:t>
      </w:r>
      <w:proofErr w:type="spellEnd"/>
      <w:r>
        <w:t xml:space="preserve">  </w:t>
      </w:r>
      <w:proofErr w:type="spellStart"/>
      <w:r>
        <w:t>pv</w:t>
      </w:r>
      <w:proofErr w:type="spellEnd"/>
      <w:r>
        <w:t>.</w:t>
      </w:r>
      <w:r>
        <w:rPr>
          <w:i/>
          <w:iCs/>
        </w:rPr>
        <w:t xml:space="preserve"> </w:t>
      </w:r>
      <w:proofErr w:type="spellStart"/>
      <w:r>
        <w:rPr>
          <w:i/>
          <w:iCs/>
        </w:rPr>
        <w:t>translucens</w:t>
      </w:r>
      <w:proofErr w:type="spellEnd"/>
      <w:r>
        <w:t xml:space="preserve">), </w:t>
      </w:r>
      <w:proofErr w:type="spellStart"/>
      <w:r>
        <w:t>Septoria</w:t>
      </w:r>
      <w:proofErr w:type="spellEnd"/>
      <w:r>
        <w:t xml:space="preserve"> leaf (</w:t>
      </w:r>
      <w:proofErr w:type="spellStart"/>
      <w:r>
        <w:rPr>
          <w:i/>
          <w:iCs/>
        </w:rPr>
        <w:t>Mycosphaerella</w:t>
      </w:r>
      <w:proofErr w:type="spellEnd"/>
      <w:r>
        <w:rPr>
          <w:i/>
          <w:iCs/>
        </w:rPr>
        <w:t xml:space="preserve"> </w:t>
      </w:r>
      <w:proofErr w:type="spellStart"/>
      <w:r>
        <w:rPr>
          <w:i/>
          <w:iCs/>
        </w:rPr>
        <w:t>graminicola</w:t>
      </w:r>
      <w:proofErr w:type="spellEnd"/>
      <w:r>
        <w:t>) and glume blotch (</w:t>
      </w:r>
      <w:proofErr w:type="spellStart"/>
      <w:r>
        <w:rPr>
          <w:i/>
          <w:iCs/>
        </w:rPr>
        <w:t>Leptosphaeria</w:t>
      </w:r>
      <w:proofErr w:type="spellEnd"/>
      <w:r>
        <w:rPr>
          <w:i/>
          <w:iCs/>
        </w:rPr>
        <w:t xml:space="preserve"> </w:t>
      </w:r>
      <w:proofErr w:type="spellStart"/>
      <w:r>
        <w:rPr>
          <w:i/>
          <w:iCs/>
        </w:rPr>
        <w:t>nodorum</w:t>
      </w:r>
      <w:proofErr w:type="spellEnd"/>
      <w:r>
        <w:t xml:space="preserve">) are rated on a scale of 0 to 9 during the dough stage of development.  A rating of 0 indicates that no disease was present, while a 9 indicates very severe disease.  The upper few leaves, heads, and stems below the head are the portions rated for these two diseases.  Since bacterial streak (black chaff) is not controlled by fungicides, it is important that </w:t>
      </w:r>
      <w:r w:rsidR="006C7C5D">
        <w:t xml:space="preserve">this </w:t>
      </w:r>
      <w:r>
        <w:t xml:space="preserve"> disease be distinguished from </w:t>
      </w:r>
      <w:proofErr w:type="spellStart"/>
      <w:r>
        <w:t>septoria</w:t>
      </w:r>
      <w:proofErr w:type="spellEnd"/>
      <w:r>
        <w:t xml:space="preserve"> blotch.  Heading day is given as calendar day (day of year).  Lodging is rated on a 0-9 scale, where a 0 indicates that all plants were completely upright.</w:t>
      </w:r>
    </w:p>
    <w:p w:rsidR="006565BA" w:rsidRDefault="006565BA" w:rsidP="00053485">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6565BA" w:rsidRDefault="006565BA" w:rsidP="00053485">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6565BA" w:rsidRDefault="006565BA" w:rsidP="00053485">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6565BA" w:rsidRDefault="006565BA" w:rsidP="00053485">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6565BA" w:rsidRDefault="006565BA" w:rsidP="00053485">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6565BA" w:rsidRDefault="006565BA" w:rsidP="00053485">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6565BA" w:rsidRDefault="006565BA" w:rsidP="00053485">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6565BA" w:rsidRDefault="006565BA" w:rsidP="00053485">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6565BA" w:rsidRDefault="006565BA" w:rsidP="00053485">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6565BA" w:rsidRDefault="006565BA" w:rsidP="00053485">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6565BA" w:rsidRDefault="006565BA" w:rsidP="00053485">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D463B1" w:rsidRDefault="00D463B1" w:rsidP="00053485">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D463B1" w:rsidRDefault="00D463B1" w:rsidP="00053485">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D463B1" w:rsidRDefault="00D463B1" w:rsidP="00053485">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6565BA" w:rsidRDefault="006565BA" w:rsidP="00053485">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6565BA" w:rsidRDefault="006565BA" w:rsidP="00053485">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053485" w:rsidRDefault="00053485" w:rsidP="00053485">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tbl>
      <w:tblPr>
        <w:tblW w:w="9360" w:type="dxa"/>
        <w:tblInd w:w="6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62" w:type="dxa"/>
          <w:right w:w="62" w:type="dxa"/>
        </w:tblCellMar>
        <w:tblLook w:val="04A0" w:firstRow="1" w:lastRow="0" w:firstColumn="1" w:lastColumn="0" w:noHBand="0" w:noVBand="1"/>
      </w:tblPr>
      <w:tblGrid>
        <w:gridCol w:w="1349"/>
        <w:gridCol w:w="1528"/>
        <w:gridCol w:w="6483"/>
      </w:tblGrid>
      <w:tr w:rsidR="006565BA" w:rsidTr="006565BA">
        <w:trPr>
          <w:cantSplit/>
          <w:trHeight w:val="288"/>
        </w:trPr>
        <w:tc>
          <w:tcPr>
            <w:tcW w:w="9358" w:type="dxa"/>
            <w:gridSpan w:val="3"/>
            <w:tcBorders>
              <w:top w:val="single" w:sz="6" w:space="0" w:color="000000"/>
              <w:left w:val="single" w:sz="6" w:space="0" w:color="000000"/>
              <w:bottom w:val="single" w:sz="6" w:space="0" w:color="000000"/>
              <w:right w:val="single" w:sz="6" w:space="0" w:color="000000"/>
            </w:tcBorders>
            <w:vAlign w:val="center"/>
            <w:hideMark/>
          </w:tcPr>
          <w:p w:rsidR="006565BA" w:rsidRDefault="006565BA">
            <w:pPr>
              <w:widowControl w:val="0"/>
              <w:tabs>
                <w:tab w:val="left" w:pos="-1080"/>
                <w:tab w:val="left" w:pos="-720"/>
                <w:tab w:val="left" w:pos="0"/>
                <w:tab w:val="left" w:pos="360"/>
                <w:tab w:val="left" w:pos="720"/>
              </w:tabs>
              <w:autoSpaceDE w:val="0"/>
              <w:autoSpaceDN w:val="0"/>
              <w:adjustRightInd w:val="0"/>
              <w:spacing w:before="13" w:after="31"/>
            </w:pPr>
            <w:r>
              <w:rPr>
                <w:b/>
                <w:bCs/>
              </w:rPr>
              <w:t>Traits and Rating Scales for LAES Wheat and Oat Performance Trials.</w:t>
            </w:r>
          </w:p>
        </w:tc>
      </w:tr>
      <w:tr w:rsidR="006565BA" w:rsidTr="006565BA">
        <w:trPr>
          <w:cantSplit/>
          <w:trHeight w:hRule="exact" w:val="288"/>
        </w:trPr>
        <w:tc>
          <w:tcPr>
            <w:tcW w:w="1348" w:type="dxa"/>
            <w:tcBorders>
              <w:top w:val="single" w:sz="6" w:space="0" w:color="000000"/>
              <w:left w:val="single" w:sz="6" w:space="0" w:color="000000"/>
              <w:bottom w:val="single" w:sz="6" w:space="0" w:color="000000"/>
              <w:right w:val="single" w:sz="6" w:space="0" w:color="000000"/>
            </w:tcBorders>
            <w:vAlign w:val="center"/>
            <w:hideMark/>
          </w:tcPr>
          <w:p w:rsidR="006565BA" w:rsidRDefault="006565BA">
            <w:pPr>
              <w:widowControl w:val="0"/>
              <w:tabs>
                <w:tab w:val="left" w:pos="-1080"/>
                <w:tab w:val="left" w:pos="-720"/>
                <w:tab w:val="left" w:pos="0"/>
                <w:tab w:val="left" w:pos="360"/>
                <w:tab w:val="left" w:pos="720"/>
              </w:tabs>
              <w:autoSpaceDE w:val="0"/>
              <w:autoSpaceDN w:val="0"/>
              <w:adjustRightInd w:val="0"/>
              <w:spacing w:before="13" w:after="31"/>
            </w:pPr>
            <w:r>
              <w:rPr>
                <w:b/>
                <w:bCs/>
              </w:rPr>
              <w:t>Trait</w:t>
            </w:r>
          </w:p>
        </w:tc>
        <w:tc>
          <w:tcPr>
            <w:tcW w:w="1528" w:type="dxa"/>
            <w:tcBorders>
              <w:top w:val="single" w:sz="6" w:space="0" w:color="000000"/>
              <w:left w:val="single" w:sz="6" w:space="0" w:color="000000"/>
              <w:bottom w:val="single" w:sz="6" w:space="0" w:color="000000"/>
              <w:right w:val="single" w:sz="6" w:space="0" w:color="000000"/>
            </w:tcBorders>
            <w:vAlign w:val="center"/>
            <w:hideMark/>
          </w:tcPr>
          <w:p w:rsidR="006565BA" w:rsidRDefault="006565BA">
            <w:pPr>
              <w:widowControl w:val="0"/>
              <w:tabs>
                <w:tab w:val="left" w:pos="-1080"/>
                <w:tab w:val="left" w:pos="-720"/>
                <w:tab w:val="left" w:pos="0"/>
                <w:tab w:val="left" w:pos="360"/>
                <w:tab w:val="left" w:pos="720"/>
                <w:tab w:val="left" w:pos="1440"/>
              </w:tabs>
              <w:autoSpaceDE w:val="0"/>
              <w:autoSpaceDN w:val="0"/>
              <w:adjustRightInd w:val="0"/>
              <w:spacing w:before="13" w:after="31"/>
            </w:pPr>
            <w:r>
              <w:rPr>
                <w:b/>
                <w:bCs/>
              </w:rPr>
              <w:t>Abbreviation</w:t>
            </w:r>
          </w:p>
        </w:tc>
        <w:tc>
          <w:tcPr>
            <w:tcW w:w="6482" w:type="dxa"/>
            <w:tcBorders>
              <w:top w:val="single" w:sz="6" w:space="0" w:color="000000"/>
              <w:left w:val="single" w:sz="6" w:space="0" w:color="000000"/>
              <w:bottom w:val="single" w:sz="6" w:space="0" w:color="000000"/>
              <w:right w:val="single" w:sz="6" w:space="0" w:color="000000"/>
            </w:tcBorders>
            <w:vAlign w:val="center"/>
            <w:hideMark/>
          </w:tcPr>
          <w:p w:rsidR="006565BA" w:rsidRDefault="006565BA">
            <w:pPr>
              <w:widowControl w:val="0"/>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s>
              <w:autoSpaceDE w:val="0"/>
              <w:autoSpaceDN w:val="0"/>
              <w:adjustRightInd w:val="0"/>
              <w:spacing w:before="13" w:after="31"/>
            </w:pPr>
            <w:r>
              <w:rPr>
                <w:b/>
                <w:bCs/>
              </w:rPr>
              <w:t>Description</w:t>
            </w:r>
          </w:p>
        </w:tc>
      </w:tr>
      <w:tr w:rsidR="006565BA" w:rsidTr="006565BA">
        <w:trPr>
          <w:cantSplit/>
        </w:trPr>
        <w:tc>
          <w:tcPr>
            <w:tcW w:w="1348" w:type="dxa"/>
            <w:tcBorders>
              <w:top w:val="single" w:sz="6" w:space="0" w:color="000000"/>
              <w:left w:val="single" w:sz="6" w:space="0" w:color="000000"/>
              <w:bottom w:val="single" w:sz="6" w:space="0" w:color="000000"/>
              <w:right w:val="single" w:sz="6" w:space="0" w:color="000000"/>
            </w:tcBorders>
            <w:vAlign w:val="center"/>
            <w:hideMark/>
          </w:tcPr>
          <w:p w:rsidR="006565BA" w:rsidRDefault="006565BA">
            <w:pPr>
              <w:widowControl w:val="0"/>
              <w:tabs>
                <w:tab w:val="left" w:pos="-1080"/>
                <w:tab w:val="left" w:pos="-720"/>
                <w:tab w:val="left" w:pos="0"/>
                <w:tab w:val="left" w:pos="360"/>
                <w:tab w:val="left" w:pos="720"/>
              </w:tabs>
              <w:autoSpaceDE w:val="0"/>
              <w:autoSpaceDN w:val="0"/>
              <w:adjustRightInd w:val="0"/>
              <w:spacing w:before="13" w:after="31"/>
            </w:pPr>
            <w:r>
              <w:t>Yield</w:t>
            </w:r>
          </w:p>
        </w:tc>
        <w:tc>
          <w:tcPr>
            <w:tcW w:w="1528" w:type="dxa"/>
            <w:tcBorders>
              <w:top w:val="single" w:sz="6" w:space="0" w:color="000000"/>
              <w:left w:val="single" w:sz="6" w:space="0" w:color="000000"/>
              <w:bottom w:val="single" w:sz="6" w:space="0" w:color="000000"/>
              <w:right w:val="single" w:sz="6" w:space="0" w:color="000000"/>
            </w:tcBorders>
            <w:vAlign w:val="center"/>
            <w:hideMark/>
          </w:tcPr>
          <w:p w:rsidR="006565BA" w:rsidRDefault="006565BA">
            <w:pPr>
              <w:widowControl w:val="0"/>
              <w:tabs>
                <w:tab w:val="left" w:pos="-1080"/>
                <w:tab w:val="left" w:pos="-720"/>
                <w:tab w:val="left" w:pos="0"/>
                <w:tab w:val="left" w:pos="360"/>
                <w:tab w:val="left" w:pos="720"/>
                <w:tab w:val="left" w:pos="1440"/>
              </w:tabs>
              <w:autoSpaceDE w:val="0"/>
              <w:autoSpaceDN w:val="0"/>
              <w:adjustRightInd w:val="0"/>
              <w:spacing w:before="13" w:after="31"/>
            </w:pPr>
            <w:r>
              <w:t>Yield</w:t>
            </w:r>
          </w:p>
        </w:tc>
        <w:tc>
          <w:tcPr>
            <w:tcW w:w="6482" w:type="dxa"/>
            <w:tcBorders>
              <w:top w:val="single" w:sz="6" w:space="0" w:color="000000"/>
              <w:left w:val="single" w:sz="6" w:space="0" w:color="000000"/>
              <w:bottom w:val="single" w:sz="6" w:space="0" w:color="000000"/>
              <w:right w:val="single" w:sz="6" w:space="0" w:color="000000"/>
            </w:tcBorders>
            <w:vAlign w:val="center"/>
            <w:hideMark/>
          </w:tcPr>
          <w:p w:rsidR="006565BA" w:rsidRDefault="006565BA">
            <w:pPr>
              <w:widowControl w:val="0"/>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s>
              <w:autoSpaceDE w:val="0"/>
              <w:autoSpaceDN w:val="0"/>
              <w:adjustRightInd w:val="0"/>
              <w:spacing w:before="13" w:after="31"/>
            </w:pPr>
            <w:r>
              <w:t>Grain yield in bushels per acre adjusted to 13% moisture.</w:t>
            </w:r>
          </w:p>
        </w:tc>
      </w:tr>
      <w:tr w:rsidR="006565BA" w:rsidTr="006565BA">
        <w:trPr>
          <w:cantSplit/>
        </w:trPr>
        <w:tc>
          <w:tcPr>
            <w:tcW w:w="1348" w:type="dxa"/>
            <w:tcBorders>
              <w:top w:val="single" w:sz="6" w:space="0" w:color="000000"/>
              <w:left w:val="single" w:sz="6" w:space="0" w:color="000000"/>
              <w:bottom w:val="single" w:sz="6" w:space="0" w:color="000000"/>
              <w:right w:val="single" w:sz="6" w:space="0" w:color="000000"/>
            </w:tcBorders>
            <w:vAlign w:val="center"/>
            <w:hideMark/>
          </w:tcPr>
          <w:p w:rsidR="006565BA" w:rsidRDefault="006565BA">
            <w:pPr>
              <w:widowControl w:val="0"/>
              <w:tabs>
                <w:tab w:val="left" w:pos="-1080"/>
                <w:tab w:val="left" w:pos="-720"/>
                <w:tab w:val="left" w:pos="0"/>
                <w:tab w:val="left" w:pos="360"/>
                <w:tab w:val="left" w:pos="720"/>
              </w:tabs>
              <w:autoSpaceDE w:val="0"/>
              <w:autoSpaceDN w:val="0"/>
              <w:adjustRightInd w:val="0"/>
              <w:spacing w:before="13" w:after="31"/>
            </w:pPr>
            <w:r>
              <w:t>Test weight</w:t>
            </w:r>
          </w:p>
        </w:tc>
        <w:tc>
          <w:tcPr>
            <w:tcW w:w="1528" w:type="dxa"/>
            <w:tcBorders>
              <w:top w:val="single" w:sz="6" w:space="0" w:color="000000"/>
              <w:left w:val="single" w:sz="6" w:space="0" w:color="000000"/>
              <w:bottom w:val="single" w:sz="6" w:space="0" w:color="000000"/>
              <w:right w:val="single" w:sz="6" w:space="0" w:color="000000"/>
            </w:tcBorders>
            <w:vAlign w:val="center"/>
            <w:hideMark/>
          </w:tcPr>
          <w:p w:rsidR="006565BA" w:rsidRDefault="006565BA">
            <w:pPr>
              <w:widowControl w:val="0"/>
              <w:tabs>
                <w:tab w:val="left" w:pos="-1080"/>
                <w:tab w:val="left" w:pos="-720"/>
                <w:tab w:val="left" w:pos="0"/>
                <w:tab w:val="left" w:pos="360"/>
                <w:tab w:val="left" w:pos="720"/>
                <w:tab w:val="left" w:pos="1440"/>
              </w:tabs>
              <w:autoSpaceDE w:val="0"/>
              <w:autoSpaceDN w:val="0"/>
              <w:adjustRightInd w:val="0"/>
              <w:spacing w:before="13" w:after="31"/>
            </w:pPr>
            <w:r>
              <w:t xml:space="preserve">Test </w:t>
            </w:r>
            <w:proofErr w:type="spellStart"/>
            <w:r>
              <w:t>wt</w:t>
            </w:r>
            <w:proofErr w:type="spellEnd"/>
          </w:p>
        </w:tc>
        <w:tc>
          <w:tcPr>
            <w:tcW w:w="6482" w:type="dxa"/>
            <w:tcBorders>
              <w:top w:val="single" w:sz="6" w:space="0" w:color="000000"/>
              <w:left w:val="single" w:sz="6" w:space="0" w:color="000000"/>
              <w:bottom w:val="single" w:sz="6" w:space="0" w:color="000000"/>
              <w:right w:val="single" w:sz="6" w:space="0" w:color="000000"/>
            </w:tcBorders>
            <w:vAlign w:val="center"/>
            <w:hideMark/>
          </w:tcPr>
          <w:p w:rsidR="006565BA" w:rsidRDefault="006565BA">
            <w:pPr>
              <w:widowControl w:val="0"/>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s>
              <w:autoSpaceDE w:val="0"/>
              <w:autoSpaceDN w:val="0"/>
              <w:adjustRightInd w:val="0"/>
              <w:spacing w:before="13" w:after="31"/>
            </w:pPr>
            <w:r>
              <w:t>Volume weight of grain in pounds per bushel</w:t>
            </w:r>
          </w:p>
        </w:tc>
      </w:tr>
      <w:tr w:rsidR="006565BA" w:rsidTr="006565BA">
        <w:trPr>
          <w:cantSplit/>
        </w:trPr>
        <w:tc>
          <w:tcPr>
            <w:tcW w:w="1348" w:type="dxa"/>
            <w:tcBorders>
              <w:top w:val="single" w:sz="6" w:space="0" w:color="000000"/>
              <w:left w:val="single" w:sz="6" w:space="0" w:color="000000"/>
              <w:bottom w:val="single" w:sz="6" w:space="0" w:color="000000"/>
              <w:right w:val="single" w:sz="6" w:space="0" w:color="000000"/>
            </w:tcBorders>
            <w:vAlign w:val="center"/>
            <w:hideMark/>
          </w:tcPr>
          <w:p w:rsidR="006565BA" w:rsidRDefault="006565BA">
            <w:pPr>
              <w:widowControl w:val="0"/>
              <w:tabs>
                <w:tab w:val="left" w:pos="-1080"/>
                <w:tab w:val="left" w:pos="-720"/>
                <w:tab w:val="left" w:pos="0"/>
                <w:tab w:val="left" w:pos="360"/>
                <w:tab w:val="left" w:pos="720"/>
              </w:tabs>
              <w:autoSpaceDE w:val="0"/>
              <w:autoSpaceDN w:val="0"/>
              <w:adjustRightInd w:val="0"/>
              <w:spacing w:before="13" w:after="31"/>
            </w:pPr>
            <w:r>
              <w:t>Heading day</w:t>
            </w:r>
          </w:p>
        </w:tc>
        <w:tc>
          <w:tcPr>
            <w:tcW w:w="1528" w:type="dxa"/>
            <w:tcBorders>
              <w:top w:val="single" w:sz="6" w:space="0" w:color="000000"/>
              <w:left w:val="single" w:sz="6" w:space="0" w:color="000000"/>
              <w:bottom w:val="single" w:sz="6" w:space="0" w:color="000000"/>
              <w:right w:val="single" w:sz="6" w:space="0" w:color="000000"/>
            </w:tcBorders>
            <w:vAlign w:val="center"/>
            <w:hideMark/>
          </w:tcPr>
          <w:p w:rsidR="006565BA" w:rsidRDefault="006565BA">
            <w:pPr>
              <w:widowControl w:val="0"/>
              <w:tabs>
                <w:tab w:val="left" w:pos="-1080"/>
                <w:tab w:val="left" w:pos="-720"/>
                <w:tab w:val="left" w:pos="0"/>
                <w:tab w:val="left" w:pos="360"/>
                <w:tab w:val="left" w:pos="720"/>
                <w:tab w:val="left" w:pos="1440"/>
              </w:tabs>
              <w:autoSpaceDE w:val="0"/>
              <w:autoSpaceDN w:val="0"/>
              <w:adjustRightInd w:val="0"/>
              <w:spacing w:before="13" w:after="31"/>
            </w:pPr>
            <w:r>
              <w:t>Head day</w:t>
            </w:r>
          </w:p>
        </w:tc>
        <w:tc>
          <w:tcPr>
            <w:tcW w:w="6482" w:type="dxa"/>
            <w:tcBorders>
              <w:top w:val="single" w:sz="6" w:space="0" w:color="000000"/>
              <w:left w:val="single" w:sz="6" w:space="0" w:color="000000"/>
              <w:bottom w:val="single" w:sz="6" w:space="0" w:color="000000"/>
              <w:right w:val="single" w:sz="6" w:space="0" w:color="000000"/>
            </w:tcBorders>
            <w:vAlign w:val="center"/>
            <w:hideMark/>
          </w:tcPr>
          <w:p w:rsidR="006565BA" w:rsidRDefault="006565BA">
            <w:pPr>
              <w:widowControl w:val="0"/>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s>
              <w:autoSpaceDE w:val="0"/>
              <w:autoSpaceDN w:val="0"/>
              <w:adjustRightInd w:val="0"/>
              <w:spacing w:before="13" w:after="31"/>
            </w:pPr>
            <w:r>
              <w:t>Day of calendar year (days after December 31) until 50% heading.</w:t>
            </w:r>
          </w:p>
        </w:tc>
      </w:tr>
      <w:tr w:rsidR="006565BA" w:rsidTr="006565BA">
        <w:trPr>
          <w:cantSplit/>
        </w:trPr>
        <w:tc>
          <w:tcPr>
            <w:tcW w:w="1348" w:type="dxa"/>
            <w:tcBorders>
              <w:top w:val="single" w:sz="6" w:space="0" w:color="000000"/>
              <w:left w:val="single" w:sz="6" w:space="0" w:color="000000"/>
              <w:bottom w:val="single" w:sz="6" w:space="0" w:color="000000"/>
              <w:right w:val="single" w:sz="6" w:space="0" w:color="000000"/>
            </w:tcBorders>
            <w:vAlign w:val="center"/>
            <w:hideMark/>
          </w:tcPr>
          <w:p w:rsidR="006565BA" w:rsidRDefault="006565BA">
            <w:pPr>
              <w:widowControl w:val="0"/>
              <w:tabs>
                <w:tab w:val="left" w:pos="-1080"/>
                <w:tab w:val="left" w:pos="-720"/>
                <w:tab w:val="left" w:pos="0"/>
                <w:tab w:val="left" w:pos="360"/>
                <w:tab w:val="left" w:pos="720"/>
              </w:tabs>
              <w:autoSpaceDE w:val="0"/>
              <w:autoSpaceDN w:val="0"/>
              <w:adjustRightInd w:val="0"/>
              <w:spacing w:before="13" w:after="31"/>
            </w:pPr>
            <w:r>
              <w:t>Plant height</w:t>
            </w:r>
          </w:p>
        </w:tc>
        <w:tc>
          <w:tcPr>
            <w:tcW w:w="1528" w:type="dxa"/>
            <w:tcBorders>
              <w:top w:val="single" w:sz="6" w:space="0" w:color="000000"/>
              <w:left w:val="single" w:sz="6" w:space="0" w:color="000000"/>
              <w:bottom w:val="single" w:sz="6" w:space="0" w:color="000000"/>
              <w:right w:val="single" w:sz="6" w:space="0" w:color="000000"/>
            </w:tcBorders>
            <w:vAlign w:val="center"/>
            <w:hideMark/>
          </w:tcPr>
          <w:p w:rsidR="006565BA" w:rsidRDefault="006565BA">
            <w:pPr>
              <w:widowControl w:val="0"/>
              <w:tabs>
                <w:tab w:val="left" w:pos="-1080"/>
                <w:tab w:val="left" w:pos="-720"/>
                <w:tab w:val="left" w:pos="0"/>
                <w:tab w:val="left" w:pos="360"/>
                <w:tab w:val="left" w:pos="720"/>
                <w:tab w:val="left" w:pos="1440"/>
              </w:tabs>
              <w:autoSpaceDE w:val="0"/>
              <w:autoSpaceDN w:val="0"/>
              <w:adjustRightInd w:val="0"/>
              <w:spacing w:before="13" w:after="31"/>
            </w:pPr>
            <w:proofErr w:type="spellStart"/>
            <w:r>
              <w:t>Ht</w:t>
            </w:r>
            <w:proofErr w:type="spellEnd"/>
          </w:p>
        </w:tc>
        <w:tc>
          <w:tcPr>
            <w:tcW w:w="6482" w:type="dxa"/>
            <w:tcBorders>
              <w:top w:val="single" w:sz="6" w:space="0" w:color="000000"/>
              <w:left w:val="single" w:sz="6" w:space="0" w:color="000000"/>
              <w:bottom w:val="single" w:sz="6" w:space="0" w:color="000000"/>
              <w:right w:val="single" w:sz="6" w:space="0" w:color="000000"/>
            </w:tcBorders>
            <w:vAlign w:val="center"/>
            <w:hideMark/>
          </w:tcPr>
          <w:p w:rsidR="006565BA" w:rsidRDefault="006565BA">
            <w:pPr>
              <w:widowControl w:val="0"/>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s>
              <w:autoSpaceDE w:val="0"/>
              <w:autoSpaceDN w:val="0"/>
              <w:adjustRightInd w:val="0"/>
              <w:spacing w:before="13" w:after="31"/>
            </w:pPr>
            <w:r>
              <w:t>Plant height in inches.</w:t>
            </w:r>
          </w:p>
        </w:tc>
      </w:tr>
      <w:tr w:rsidR="006565BA" w:rsidTr="006565BA">
        <w:trPr>
          <w:cantSplit/>
        </w:trPr>
        <w:tc>
          <w:tcPr>
            <w:tcW w:w="1348" w:type="dxa"/>
            <w:tcBorders>
              <w:top w:val="single" w:sz="6" w:space="0" w:color="000000"/>
              <w:left w:val="single" w:sz="6" w:space="0" w:color="000000"/>
              <w:bottom w:val="single" w:sz="6" w:space="0" w:color="000000"/>
              <w:right w:val="single" w:sz="6" w:space="0" w:color="000000"/>
            </w:tcBorders>
            <w:vAlign w:val="center"/>
            <w:hideMark/>
          </w:tcPr>
          <w:p w:rsidR="006565BA" w:rsidRDefault="006565BA">
            <w:pPr>
              <w:widowControl w:val="0"/>
              <w:tabs>
                <w:tab w:val="left" w:pos="-1080"/>
                <w:tab w:val="left" w:pos="-720"/>
                <w:tab w:val="left" w:pos="0"/>
                <w:tab w:val="left" w:pos="360"/>
                <w:tab w:val="left" w:pos="720"/>
              </w:tabs>
              <w:autoSpaceDE w:val="0"/>
              <w:autoSpaceDN w:val="0"/>
              <w:adjustRightInd w:val="0"/>
              <w:spacing w:before="13" w:after="31"/>
            </w:pPr>
            <w:r>
              <w:t>Lodging rating</w:t>
            </w:r>
          </w:p>
        </w:tc>
        <w:tc>
          <w:tcPr>
            <w:tcW w:w="1528" w:type="dxa"/>
            <w:tcBorders>
              <w:top w:val="single" w:sz="6" w:space="0" w:color="000000"/>
              <w:left w:val="single" w:sz="6" w:space="0" w:color="000000"/>
              <w:bottom w:val="single" w:sz="6" w:space="0" w:color="000000"/>
              <w:right w:val="single" w:sz="6" w:space="0" w:color="000000"/>
            </w:tcBorders>
            <w:vAlign w:val="center"/>
            <w:hideMark/>
          </w:tcPr>
          <w:p w:rsidR="006565BA" w:rsidRDefault="006565BA">
            <w:pPr>
              <w:widowControl w:val="0"/>
              <w:tabs>
                <w:tab w:val="left" w:pos="-1080"/>
                <w:tab w:val="left" w:pos="-720"/>
                <w:tab w:val="left" w:pos="0"/>
                <w:tab w:val="left" w:pos="360"/>
                <w:tab w:val="left" w:pos="720"/>
                <w:tab w:val="left" w:pos="1440"/>
              </w:tabs>
              <w:autoSpaceDE w:val="0"/>
              <w:autoSpaceDN w:val="0"/>
              <w:adjustRightInd w:val="0"/>
              <w:spacing w:before="13" w:after="31"/>
            </w:pPr>
            <w:proofErr w:type="spellStart"/>
            <w:r>
              <w:t>Lod</w:t>
            </w:r>
            <w:proofErr w:type="spellEnd"/>
          </w:p>
        </w:tc>
        <w:tc>
          <w:tcPr>
            <w:tcW w:w="6482" w:type="dxa"/>
            <w:tcBorders>
              <w:top w:val="single" w:sz="6" w:space="0" w:color="000000"/>
              <w:left w:val="single" w:sz="6" w:space="0" w:color="000000"/>
              <w:bottom w:val="single" w:sz="6" w:space="0" w:color="000000"/>
              <w:right w:val="single" w:sz="6" w:space="0" w:color="000000"/>
            </w:tcBorders>
            <w:vAlign w:val="center"/>
            <w:hideMark/>
          </w:tcPr>
          <w:p w:rsidR="006565BA" w:rsidRDefault="006565BA">
            <w:pPr>
              <w:widowControl w:val="0"/>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s>
              <w:autoSpaceDE w:val="0"/>
              <w:autoSpaceDN w:val="0"/>
              <w:adjustRightInd w:val="0"/>
              <w:spacing w:before="13" w:after="31"/>
            </w:pPr>
            <w:r>
              <w:t>Lodging rated on a scale of 0 - 9, where a 0 indicates no lodging and a 9 indicates complete lodging (all plants flat).</w:t>
            </w:r>
          </w:p>
        </w:tc>
      </w:tr>
      <w:tr w:rsidR="006565BA" w:rsidTr="006565BA">
        <w:trPr>
          <w:cantSplit/>
        </w:trPr>
        <w:tc>
          <w:tcPr>
            <w:tcW w:w="1348" w:type="dxa"/>
            <w:tcBorders>
              <w:top w:val="single" w:sz="6" w:space="0" w:color="000000"/>
              <w:left w:val="single" w:sz="6" w:space="0" w:color="000000"/>
              <w:bottom w:val="single" w:sz="6" w:space="0" w:color="000000"/>
              <w:right w:val="single" w:sz="6" w:space="0" w:color="000000"/>
            </w:tcBorders>
            <w:vAlign w:val="center"/>
            <w:hideMark/>
          </w:tcPr>
          <w:p w:rsidR="006565BA" w:rsidRDefault="006565BA">
            <w:pPr>
              <w:widowControl w:val="0"/>
              <w:tabs>
                <w:tab w:val="left" w:pos="-1080"/>
                <w:tab w:val="left" w:pos="-720"/>
                <w:tab w:val="left" w:pos="0"/>
                <w:tab w:val="left" w:pos="360"/>
                <w:tab w:val="left" w:pos="720"/>
              </w:tabs>
              <w:autoSpaceDE w:val="0"/>
              <w:autoSpaceDN w:val="0"/>
              <w:adjustRightInd w:val="0"/>
              <w:spacing w:before="13" w:after="31"/>
            </w:pPr>
            <w:r>
              <w:t>Leaf rust</w:t>
            </w:r>
          </w:p>
        </w:tc>
        <w:tc>
          <w:tcPr>
            <w:tcW w:w="1528" w:type="dxa"/>
            <w:tcBorders>
              <w:top w:val="single" w:sz="6" w:space="0" w:color="000000"/>
              <w:left w:val="single" w:sz="6" w:space="0" w:color="000000"/>
              <w:bottom w:val="single" w:sz="6" w:space="0" w:color="000000"/>
              <w:right w:val="single" w:sz="6" w:space="0" w:color="000000"/>
            </w:tcBorders>
            <w:vAlign w:val="center"/>
            <w:hideMark/>
          </w:tcPr>
          <w:p w:rsidR="006565BA" w:rsidRDefault="006565BA">
            <w:pPr>
              <w:widowControl w:val="0"/>
              <w:tabs>
                <w:tab w:val="left" w:pos="-1080"/>
                <w:tab w:val="left" w:pos="-720"/>
                <w:tab w:val="left" w:pos="0"/>
                <w:tab w:val="left" w:pos="360"/>
                <w:tab w:val="left" w:pos="720"/>
                <w:tab w:val="left" w:pos="1440"/>
              </w:tabs>
              <w:autoSpaceDE w:val="0"/>
              <w:autoSpaceDN w:val="0"/>
              <w:adjustRightInd w:val="0"/>
              <w:spacing w:before="13" w:after="31"/>
            </w:pPr>
            <w:r>
              <w:t>Leaf rust</w:t>
            </w:r>
          </w:p>
        </w:tc>
        <w:tc>
          <w:tcPr>
            <w:tcW w:w="6482" w:type="dxa"/>
            <w:tcBorders>
              <w:top w:val="single" w:sz="6" w:space="0" w:color="000000"/>
              <w:left w:val="single" w:sz="6" w:space="0" w:color="000000"/>
              <w:bottom w:val="single" w:sz="6" w:space="0" w:color="000000"/>
              <w:right w:val="single" w:sz="6" w:space="0" w:color="000000"/>
            </w:tcBorders>
            <w:vAlign w:val="center"/>
            <w:hideMark/>
          </w:tcPr>
          <w:p w:rsidR="006565BA" w:rsidRDefault="006565BA">
            <w:pPr>
              <w:widowControl w:val="0"/>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s>
              <w:autoSpaceDE w:val="0"/>
              <w:autoSpaceDN w:val="0"/>
              <w:adjustRightInd w:val="0"/>
              <w:spacing w:before="13" w:after="31"/>
            </w:pPr>
            <w:r>
              <w:t>Percent of upper two leaves affected by leaf rust, rated during grain fill.  This rating is generally taken during soft to mid-dough, but varies somewhat by location and variety.</w:t>
            </w:r>
          </w:p>
        </w:tc>
      </w:tr>
      <w:tr w:rsidR="006565BA" w:rsidTr="006565BA">
        <w:trPr>
          <w:cantSplit/>
        </w:trPr>
        <w:tc>
          <w:tcPr>
            <w:tcW w:w="1348" w:type="dxa"/>
            <w:tcBorders>
              <w:top w:val="single" w:sz="6" w:space="0" w:color="000000"/>
              <w:left w:val="single" w:sz="6" w:space="0" w:color="000000"/>
              <w:bottom w:val="single" w:sz="6" w:space="0" w:color="000000"/>
              <w:right w:val="single" w:sz="6" w:space="0" w:color="000000"/>
            </w:tcBorders>
            <w:vAlign w:val="center"/>
            <w:hideMark/>
          </w:tcPr>
          <w:p w:rsidR="006565BA" w:rsidRDefault="006565BA">
            <w:pPr>
              <w:widowControl w:val="0"/>
              <w:tabs>
                <w:tab w:val="left" w:pos="-1080"/>
                <w:tab w:val="left" w:pos="-720"/>
                <w:tab w:val="left" w:pos="0"/>
                <w:tab w:val="left" w:pos="360"/>
                <w:tab w:val="left" w:pos="720"/>
              </w:tabs>
              <w:autoSpaceDE w:val="0"/>
              <w:autoSpaceDN w:val="0"/>
              <w:adjustRightInd w:val="0"/>
              <w:spacing w:before="13" w:after="31"/>
            </w:pPr>
            <w:r>
              <w:t>Stripe rust</w:t>
            </w:r>
          </w:p>
        </w:tc>
        <w:tc>
          <w:tcPr>
            <w:tcW w:w="1528" w:type="dxa"/>
            <w:tcBorders>
              <w:top w:val="single" w:sz="6" w:space="0" w:color="000000"/>
              <w:left w:val="single" w:sz="6" w:space="0" w:color="000000"/>
              <w:bottom w:val="single" w:sz="6" w:space="0" w:color="000000"/>
              <w:right w:val="single" w:sz="6" w:space="0" w:color="000000"/>
            </w:tcBorders>
            <w:vAlign w:val="center"/>
            <w:hideMark/>
          </w:tcPr>
          <w:p w:rsidR="006565BA" w:rsidRDefault="006565BA">
            <w:pPr>
              <w:widowControl w:val="0"/>
              <w:tabs>
                <w:tab w:val="left" w:pos="-1080"/>
                <w:tab w:val="left" w:pos="-720"/>
                <w:tab w:val="left" w:pos="0"/>
                <w:tab w:val="left" w:pos="360"/>
                <w:tab w:val="left" w:pos="720"/>
                <w:tab w:val="left" w:pos="1440"/>
              </w:tabs>
              <w:autoSpaceDE w:val="0"/>
              <w:autoSpaceDN w:val="0"/>
              <w:adjustRightInd w:val="0"/>
              <w:spacing w:before="13" w:after="31"/>
            </w:pPr>
            <w:r>
              <w:t>Stripe rust</w:t>
            </w:r>
          </w:p>
        </w:tc>
        <w:tc>
          <w:tcPr>
            <w:tcW w:w="6482" w:type="dxa"/>
            <w:tcBorders>
              <w:top w:val="single" w:sz="6" w:space="0" w:color="000000"/>
              <w:left w:val="single" w:sz="6" w:space="0" w:color="000000"/>
              <w:bottom w:val="single" w:sz="6" w:space="0" w:color="000000"/>
              <w:right w:val="single" w:sz="6" w:space="0" w:color="000000"/>
            </w:tcBorders>
            <w:vAlign w:val="center"/>
            <w:hideMark/>
          </w:tcPr>
          <w:p w:rsidR="006565BA" w:rsidRDefault="006565BA">
            <w:pPr>
              <w:widowControl w:val="0"/>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s>
              <w:autoSpaceDE w:val="0"/>
              <w:autoSpaceDN w:val="0"/>
              <w:adjustRightInd w:val="0"/>
              <w:spacing w:before="13" w:after="31"/>
            </w:pPr>
            <w:r>
              <w:t xml:space="preserve">Percent of upper two leaves affected by leaf rust, rated between flag leaf and mid grain fill.  </w:t>
            </w:r>
          </w:p>
        </w:tc>
      </w:tr>
      <w:tr w:rsidR="006565BA" w:rsidTr="006565BA">
        <w:trPr>
          <w:cantSplit/>
          <w:trHeight w:val="813"/>
        </w:trPr>
        <w:tc>
          <w:tcPr>
            <w:tcW w:w="1348" w:type="dxa"/>
            <w:tcBorders>
              <w:top w:val="single" w:sz="6" w:space="0" w:color="000000"/>
              <w:left w:val="single" w:sz="6" w:space="0" w:color="000000"/>
              <w:bottom w:val="single" w:sz="6" w:space="0" w:color="000000"/>
              <w:right w:val="single" w:sz="6" w:space="0" w:color="000000"/>
            </w:tcBorders>
            <w:vAlign w:val="center"/>
            <w:hideMark/>
          </w:tcPr>
          <w:p w:rsidR="006565BA" w:rsidRDefault="006565BA">
            <w:pPr>
              <w:widowControl w:val="0"/>
              <w:tabs>
                <w:tab w:val="left" w:pos="-1080"/>
                <w:tab w:val="left" w:pos="-720"/>
                <w:tab w:val="left" w:pos="0"/>
                <w:tab w:val="left" w:pos="360"/>
                <w:tab w:val="left" w:pos="720"/>
              </w:tabs>
              <w:autoSpaceDE w:val="0"/>
              <w:autoSpaceDN w:val="0"/>
              <w:adjustRightInd w:val="0"/>
              <w:spacing w:before="13" w:after="31"/>
            </w:pPr>
            <w:proofErr w:type="spellStart"/>
            <w:r>
              <w:t>Septoria</w:t>
            </w:r>
            <w:proofErr w:type="spellEnd"/>
          </w:p>
        </w:tc>
        <w:tc>
          <w:tcPr>
            <w:tcW w:w="1528" w:type="dxa"/>
            <w:tcBorders>
              <w:top w:val="single" w:sz="6" w:space="0" w:color="000000"/>
              <w:left w:val="single" w:sz="6" w:space="0" w:color="000000"/>
              <w:bottom w:val="single" w:sz="6" w:space="0" w:color="000000"/>
              <w:right w:val="single" w:sz="6" w:space="0" w:color="000000"/>
            </w:tcBorders>
            <w:vAlign w:val="center"/>
            <w:hideMark/>
          </w:tcPr>
          <w:p w:rsidR="006565BA" w:rsidRDefault="006565BA">
            <w:pPr>
              <w:widowControl w:val="0"/>
              <w:tabs>
                <w:tab w:val="left" w:pos="-1080"/>
                <w:tab w:val="left" w:pos="-720"/>
                <w:tab w:val="left" w:pos="0"/>
                <w:tab w:val="left" w:pos="360"/>
                <w:tab w:val="left" w:pos="720"/>
                <w:tab w:val="left" w:pos="1440"/>
              </w:tabs>
              <w:autoSpaceDE w:val="0"/>
              <w:autoSpaceDN w:val="0"/>
              <w:adjustRightInd w:val="0"/>
              <w:spacing w:before="13" w:after="31"/>
            </w:pPr>
            <w:r>
              <w:t>Sept</w:t>
            </w:r>
          </w:p>
        </w:tc>
        <w:tc>
          <w:tcPr>
            <w:tcW w:w="6482" w:type="dxa"/>
            <w:tcBorders>
              <w:top w:val="single" w:sz="6" w:space="0" w:color="000000"/>
              <w:left w:val="single" w:sz="6" w:space="0" w:color="000000"/>
              <w:bottom w:val="single" w:sz="6" w:space="0" w:color="000000"/>
              <w:right w:val="single" w:sz="6" w:space="0" w:color="000000"/>
            </w:tcBorders>
            <w:vAlign w:val="center"/>
            <w:hideMark/>
          </w:tcPr>
          <w:p w:rsidR="006565BA" w:rsidRDefault="006565BA">
            <w:pPr>
              <w:widowControl w:val="0"/>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s>
              <w:autoSpaceDE w:val="0"/>
              <w:autoSpaceDN w:val="0"/>
              <w:adjustRightInd w:val="0"/>
              <w:spacing w:before="13" w:after="31"/>
            </w:pPr>
            <w:proofErr w:type="spellStart"/>
            <w:r>
              <w:t>Septoria</w:t>
            </w:r>
            <w:proofErr w:type="spellEnd"/>
            <w:r>
              <w:t xml:space="preserve"> leaf &amp; glume blotch rated on a scale of 0 - 9, where 0 indicates no disease and 9 indicates severe disease on the flag leaf and head.</w:t>
            </w:r>
          </w:p>
        </w:tc>
      </w:tr>
      <w:tr w:rsidR="006565BA" w:rsidTr="006565BA">
        <w:trPr>
          <w:cantSplit/>
        </w:trPr>
        <w:tc>
          <w:tcPr>
            <w:tcW w:w="1348" w:type="dxa"/>
            <w:tcBorders>
              <w:top w:val="single" w:sz="6" w:space="0" w:color="000000"/>
              <w:left w:val="single" w:sz="6" w:space="0" w:color="000000"/>
              <w:bottom w:val="single" w:sz="6" w:space="0" w:color="000000"/>
              <w:right w:val="single" w:sz="6" w:space="0" w:color="000000"/>
            </w:tcBorders>
            <w:vAlign w:val="center"/>
            <w:hideMark/>
          </w:tcPr>
          <w:p w:rsidR="006565BA" w:rsidRDefault="006565BA">
            <w:pPr>
              <w:widowControl w:val="0"/>
              <w:tabs>
                <w:tab w:val="left" w:pos="-1080"/>
                <w:tab w:val="left" w:pos="-720"/>
                <w:tab w:val="left" w:pos="0"/>
                <w:tab w:val="left" w:pos="360"/>
                <w:tab w:val="left" w:pos="720"/>
              </w:tabs>
              <w:autoSpaceDE w:val="0"/>
              <w:autoSpaceDN w:val="0"/>
              <w:adjustRightInd w:val="0"/>
              <w:spacing w:before="13" w:after="31"/>
            </w:pPr>
            <w:r>
              <w:t>Bacterial Streak</w:t>
            </w:r>
          </w:p>
        </w:tc>
        <w:tc>
          <w:tcPr>
            <w:tcW w:w="1528" w:type="dxa"/>
            <w:tcBorders>
              <w:top w:val="single" w:sz="6" w:space="0" w:color="000000"/>
              <w:left w:val="single" w:sz="6" w:space="0" w:color="000000"/>
              <w:bottom w:val="single" w:sz="6" w:space="0" w:color="000000"/>
              <w:right w:val="single" w:sz="6" w:space="0" w:color="000000"/>
            </w:tcBorders>
            <w:vAlign w:val="center"/>
            <w:hideMark/>
          </w:tcPr>
          <w:p w:rsidR="006565BA" w:rsidRDefault="006565BA">
            <w:pPr>
              <w:widowControl w:val="0"/>
              <w:tabs>
                <w:tab w:val="left" w:pos="-1080"/>
                <w:tab w:val="left" w:pos="-720"/>
                <w:tab w:val="left" w:pos="0"/>
                <w:tab w:val="left" w:pos="360"/>
                <w:tab w:val="left" w:pos="720"/>
                <w:tab w:val="left" w:pos="1440"/>
              </w:tabs>
              <w:autoSpaceDE w:val="0"/>
              <w:autoSpaceDN w:val="0"/>
              <w:adjustRightInd w:val="0"/>
              <w:spacing w:before="13" w:after="31"/>
            </w:pPr>
            <w:proofErr w:type="spellStart"/>
            <w:r>
              <w:t>Bact</w:t>
            </w:r>
            <w:proofErr w:type="spellEnd"/>
          </w:p>
        </w:tc>
        <w:tc>
          <w:tcPr>
            <w:tcW w:w="6482" w:type="dxa"/>
            <w:tcBorders>
              <w:top w:val="single" w:sz="6" w:space="0" w:color="000000"/>
              <w:left w:val="single" w:sz="6" w:space="0" w:color="000000"/>
              <w:bottom w:val="single" w:sz="6" w:space="0" w:color="000000"/>
              <w:right w:val="single" w:sz="6" w:space="0" w:color="000000"/>
            </w:tcBorders>
            <w:vAlign w:val="center"/>
            <w:hideMark/>
          </w:tcPr>
          <w:p w:rsidR="006565BA" w:rsidRDefault="006565BA">
            <w:pPr>
              <w:widowControl w:val="0"/>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s>
              <w:autoSpaceDE w:val="0"/>
              <w:autoSpaceDN w:val="0"/>
              <w:adjustRightInd w:val="0"/>
              <w:spacing w:before="13" w:after="31"/>
            </w:pPr>
            <w:r>
              <w:t>Bacterial streak (black chaff) rated on a scale of 0 - 9, where 0 indicates no disease and 9 indicates severe disease on the flag leaf and head.</w:t>
            </w:r>
          </w:p>
        </w:tc>
      </w:tr>
      <w:tr w:rsidR="006565BA" w:rsidTr="006565BA">
        <w:trPr>
          <w:cantSplit/>
        </w:trPr>
        <w:tc>
          <w:tcPr>
            <w:tcW w:w="1348" w:type="dxa"/>
            <w:tcBorders>
              <w:top w:val="single" w:sz="6" w:space="0" w:color="000000"/>
              <w:left w:val="single" w:sz="6" w:space="0" w:color="000000"/>
              <w:bottom w:val="single" w:sz="6" w:space="0" w:color="000000"/>
              <w:right w:val="single" w:sz="6" w:space="0" w:color="000000"/>
            </w:tcBorders>
            <w:vAlign w:val="center"/>
            <w:hideMark/>
          </w:tcPr>
          <w:p w:rsidR="006565BA" w:rsidRDefault="006565BA">
            <w:pPr>
              <w:widowControl w:val="0"/>
              <w:tabs>
                <w:tab w:val="left" w:pos="-1080"/>
                <w:tab w:val="left" w:pos="-720"/>
                <w:tab w:val="left" w:pos="0"/>
                <w:tab w:val="left" w:pos="360"/>
                <w:tab w:val="left" w:pos="720"/>
              </w:tabs>
              <w:autoSpaceDE w:val="0"/>
              <w:autoSpaceDN w:val="0"/>
              <w:adjustRightInd w:val="0"/>
              <w:spacing w:before="13" w:after="31"/>
            </w:pPr>
            <w:r>
              <w:t>Powdery mildew</w:t>
            </w:r>
          </w:p>
        </w:tc>
        <w:tc>
          <w:tcPr>
            <w:tcW w:w="1528" w:type="dxa"/>
            <w:tcBorders>
              <w:top w:val="single" w:sz="6" w:space="0" w:color="000000"/>
              <w:left w:val="single" w:sz="6" w:space="0" w:color="000000"/>
              <w:bottom w:val="single" w:sz="6" w:space="0" w:color="000000"/>
              <w:right w:val="single" w:sz="6" w:space="0" w:color="000000"/>
            </w:tcBorders>
            <w:vAlign w:val="center"/>
            <w:hideMark/>
          </w:tcPr>
          <w:p w:rsidR="006565BA" w:rsidRDefault="006565BA">
            <w:pPr>
              <w:widowControl w:val="0"/>
              <w:tabs>
                <w:tab w:val="left" w:pos="-1080"/>
                <w:tab w:val="left" w:pos="-720"/>
                <w:tab w:val="left" w:pos="0"/>
                <w:tab w:val="left" w:pos="360"/>
                <w:tab w:val="left" w:pos="720"/>
                <w:tab w:val="left" w:pos="1440"/>
              </w:tabs>
              <w:autoSpaceDE w:val="0"/>
              <w:autoSpaceDN w:val="0"/>
              <w:adjustRightInd w:val="0"/>
              <w:spacing w:before="13" w:after="31"/>
            </w:pPr>
            <w:proofErr w:type="spellStart"/>
            <w:r>
              <w:t>Powd</w:t>
            </w:r>
            <w:proofErr w:type="spellEnd"/>
            <w:r>
              <w:t xml:space="preserve"> mild</w:t>
            </w:r>
          </w:p>
        </w:tc>
        <w:tc>
          <w:tcPr>
            <w:tcW w:w="6482" w:type="dxa"/>
            <w:tcBorders>
              <w:top w:val="single" w:sz="6" w:space="0" w:color="000000"/>
              <w:left w:val="single" w:sz="6" w:space="0" w:color="000000"/>
              <w:bottom w:val="single" w:sz="6" w:space="0" w:color="000000"/>
              <w:right w:val="single" w:sz="6" w:space="0" w:color="000000"/>
            </w:tcBorders>
            <w:vAlign w:val="center"/>
            <w:hideMark/>
          </w:tcPr>
          <w:p w:rsidR="006565BA" w:rsidRDefault="006565BA">
            <w:pPr>
              <w:widowControl w:val="0"/>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s>
              <w:autoSpaceDE w:val="0"/>
              <w:autoSpaceDN w:val="0"/>
              <w:adjustRightInd w:val="0"/>
              <w:spacing w:before="13" w:after="31"/>
            </w:pPr>
            <w:r>
              <w:t xml:space="preserve">Powdery mildew rating on a scale of 0 - 9, where 0 indicates no disease and 9 indicates severe disease present on the foliage.  Rated in early to </w:t>
            </w:r>
            <w:proofErr w:type="spellStart"/>
            <w:r>
              <w:t>mid spring</w:t>
            </w:r>
            <w:proofErr w:type="spellEnd"/>
            <w:r>
              <w:t>.</w:t>
            </w:r>
          </w:p>
        </w:tc>
      </w:tr>
      <w:tr w:rsidR="006565BA" w:rsidTr="006565BA">
        <w:trPr>
          <w:cantSplit/>
        </w:trPr>
        <w:tc>
          <w:tcPr>
            <w:tcW w:w="1348" w:type="dxa"/>
            <w:tcBorders>
              <w:top w:val="single" w:sz="6" w:space="0" w:color="000000"/>
              <w:left w:val="single" w:sz="6" w:space="0" w:color="000000"/>
              <w:bottom w:val="single" w:sz="6" w:space="0" w:color="000000"/>
              <w:right w:val="single" w:sz="6" w:space="0" w:color="000000"/>
            </w:tcBorders>
            <w:vAlign w:val="center"/>
            <w:hideMark/>
          </w:tcPr>
          <w:p w:rsidR="006565BA" w:rsidRDefault="006565BA">
            <w:pPr>
              <w:widowControl w:val="0"/>
              <w:tabs>
                <w:tab w:val="left" w:pos="-1080"/>
                <w:tab w:val="left" w:pos="-720"/>
                <w:tab w:val="left" w:pos="0"/>
                <w:tab w:val="left" w:pos="360"/>
                <w:tab w:val="left" w:pos="720"/>
              </w:tabs>
              <w:autoSpaceDE w:val="0"/>
              <w:autoSpaceDN w:val="0"/>
              <w:adjustRightInd w:val="0"/>
              <w:spacing w:before="13" w:after="31"/>
            </w:pPr>
            <w:r>
              <w:t>Phenotype</w:t>
            </w:r>
          </w:p>
        </w:tc>
        <w:tc>
          <w:tcPr>
            <w:tcW w:w="1528" w:type="dxa"/>
            <w:tcBorders>
              <w:top w:val="single" w:sz="6" w:space="0" w:color="000000"/>
              <w:left w:val="single" w:sz="6" w:space="0" w:color="000000"/>
              <w:bottom w:val="single" w:sz="6" w:space="0" w:color="000000"/>
              <w:right w:val="single" w:sz="6" w:space="0" w:color="000000"/>
            </w:tcBorders>
            <w:vAlign w:val="center"/>
            <w:hideMark/>
          </w:tcPr>
          <w:p w:rsidR="006565BA" w:rsidRDefault="006565BA">
            <w:pPr>
              <w:widowControl w:val="0"/>
              <w:tabs>
                <w:tab w:val="left" w:pos="-1080"/>
                <w:tab w:val="left" w:pos="-720"/>
                <w:tab w:val="left" w:pos="0"/>
                <w:tab w:val="left" w:pos="360"/>
                <w:tab w:val="left" w:pos="720"/>
                <w:tab w:val="left" w:pos="1440"/>
              </w:tabs>
              <w:autoSpaceDE w:val="0"/>
              <w:autoSpaceDN w:val="0"/>
              <w:adjustRightInd w:val="0"/>
              <w:spacing w:before="13" w:after="31"/>
            </w:pPr>
            <w:proofErr w:type="spellStart"/>
            <w:r>
              <w:t>Phe</w:t>
            </w:r>
            <w:proofErr w:type="spellEnd"/>
          </w:p>
        </w:tc>
        <w:tc>
          <w:tcPr>
            <w:tcW w:w="6482" w:type="dxa"/>
            <w:tcBorders>
              <w:top w:val="single" w:sz="6" w:space="0" w:color="000000"/>
              <w:left w:val="single" w:sz="6" w:space="0" w:color="000000"/>
              <w:bottom w:val="single" w:sz="6" w:space="0" w:color="000000"/>
              <w:right w:val="single" w:sz="6" w:space="0" w:color="000000"/>
            </w:tcBorders>
            <w:vAlign w:val="center"/>
            <w:hideMark/>
          </w:tcPr>
          <w:p w:rsidR="006565BA" w:rsidRDefault="006565BA">
            <w:pPr>
              <w:widowControl w:val="0"/>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s>
              <w:autoSpaceDE w:val="0"/>
              <w:autoSpaceDN w:val="0"/>
              <w:adjustRightInd w:val="0"/>
              <w:spacing w:before="13" w:after="31"/>
            </w:pPr>
            <w:r>
              <w:t>Phenotypic rating, an overall visual rating prior to harvest.  0=excellent, 9=poor.  This rating is a visual rating of ‘eye-appeal’.</w:t>
            </w:r>
          </w:p>
        </w:tc>
      </w:tr>
    </w:tbl>
    <w:p w:rsidR="00053485" w:rsidRDefault="00053485" w:rsidP="00053485">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053485" w:rsidRDefault="00053485" w:rsidP="00053485">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401DB4" w:rsidRDefault="00401ED9" w:rsidP="002D1F72">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rPr>
      </w:pPr>
      <w:r>
        <w:rPr>
          <w:b/>
          <w:bCs/>
        </w:rPr>
        <w:t>Growing Conditions and General Comments for 20</w:t>
      </w:r>
      <w:r w:rsidR="00356EA7">
        <w:rPr>
          <w:b/>
          <w:bCs/>
        </w:rPr>
        <w:t>1</w:t>
      </w:r>
      <w:r w:rsidR="0032594C">
        <w:rPr>
          <w:b/>
          <w:bCs/>
        </w:rPr>
        <w:t>1</w:t>
      </w:r>
      <w:r>
        <w:rPr>
          <w:b/>
          <w:bCs/>
        </w:rPr>
        <w:t>-201</w:t>
      </w:r>
      <w:r w:rsidR="0032594C">
        <w:rPr>
          <w:b/>
          <w:bCs/>
        </w:rPr>
        <w:t>2</w:t>
      </w:r>
    </w:p>
    <w:p w:rsidR="00931D9C" w:rsidRPr="00931D9C" w:rsidRDefault="002D1F72" w:rsidP="00931D9C">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
        <w:rPr>
          <w:b/>
          <w:bCs/>
        </w:rPr>
        <w:t xml:space="preserve">     </w:t>
      </w:r>
      <w:r w:rsidR="00931D9C" w:rsidRPr="00931D9C">
        <w:rPr>
          <w:bCs/>
        </w:rPr>
        <w:t xml:space="preserve">Overall, the 2012 growing season was an extremely difficult one. The winter and spring were very warm with temperatures averaging 6 to 7 degrees above normal January through March. As a result, many varieties in the southern locations only partially vernalized, producing about half the normal number of heads which were late and variable in timing.  Long </w:t>
      </w:r>
      <w:proofErr w:type="spellStart"/>
      <w:r w:rsidR="00931D9C" w:rsidRPr="00931D9C">
        <w:rPr>
          <w:bCs/>
        </w:rPr>
        <w:t>vernalization</w:t>
      </w:r>
      <w:proofErr w:type="spellEnd"/>
      <w:r w:rsidR="00931D9C" w:rsidRPr="00931D9C">
        <w:rPr>
          <w:bCs/>
        </w:rPr>
        <w:t xml:space="preserve"> varieties did not vernalize and thus did not head out at all.  Multiple strong storms lead to high rainfall totals and poor stands, particularly in Crowley.  The warm temperatures also triggered accelerated growth which resulted in freeze damage followed by several storms prior to harvest causing widespread lodging.  In addition, bird damage was extremely high at Baton Rouge and Jeanerette possibly as a result of altered migration patterns of blackbirds.  No usable wheat or oat data were collected at Alexandria, Bossier City, Crowley or Jeanerette</w:t>
      </w:r>
      <w:r w:rsidR="00931D9C" w:rsidRPr="00931D9C">
        <w:t xml:space="preserve">.  Useable data were collected at Winnsboro and St. Joseph.  </w:t>
      </w:r>
      <w:r w:rsidR="00931D9C" w:rsidRPr="00931D9C">
        <w:rPr>
          <w:bCs/>
        </w:rPr>
        <w:t>No wheat data were collected at Baton Rouge.</w:t>
      </w:r>
    </w:p>
    <w:p w:rsidR="00931D9C" w:rsidRDefault="00931D9C" w:rsidP="00715D2C">
      <w:pPr>
        <w:rPr>
          <w:b/>
        </w:rPr>
      </w:pPr>
      <w:bookmarkStart w:id="2" w:name="_GoBack"/>
      <w:bookmarkEnd w:id="2"/>
    </w:p>
    <w:sectPr w:rsidR="00931D9C" w:rsidSect="0057039C">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6634" w:rsidRDefault="005B6634" w:rsidP="002900DF">
      <w:r>
        <w:separator/>
      </w:r>
    </w:p>
  </w:endnote>
  <w:endnote w:type="continuationSeparator" w:id="0">
    <w:p w:rsidR="005B6634" w:rsidRDefault="005B6634" w:rsidP="002900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6634" w:rsidRDefault="005B6634" w:rsidP="002900DF">
      <w:r>
        <w:separator/>
      </w:r>
    </w:p>
  </w:footnote>
  <w:footnote w:type="continuationSeparator" w:id="0">
    <w:p w:rsidR="005B6634" w:rsidRDefault="005B6634" w:rsidP="002900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6C55BA"/>
    <w:multiLevelType w:val="hybridMultilevel"/>
    <w:tmpl w:val="702A83C2"/>
    <w:lvl w:ilvl="0" w:tplc="0700D9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78240AB"/>
    <w:multiLevelType w:val="hybridMultilevel"/>
    <w:tmpl w:val="061CA476"/>
    <w:lvl w:ilvl="0" w:tplc="4CE203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2C03728"/>
    <w:multiLevelType w:val="hybridMultilevel"/>
    <w:tmpl w:val="05EC67BE"/>
    <w:lvl w:ilvl="0" w:tplc="997EF1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66A7"/>
    <w:rsid w:val="00001B6F"/>
    <w:rsid w:val="000026B0"/>
    <w:rsid w:val="00010CD7"/>
    <w:rsid w:val="00012A65"/>
    <w:rsid w:val="00020443"/>
    <w:rsid w:val="000255DC"/>
    <w:rsid w:val="00044E73"/>
    <w:rsid w:val="00047E4C"/>
    <w:rsid w:val="00053485"/>
    <w:rsid w:val="00066E18"/>
    <w:rsid w:val="000707D4"/>
    <w:rsid w:val="00087F3E"/>
    <w:rsid w:val="00090D16"/>
    <w:rsid w:val="000B3EEE"/>
    <w:rsid w:val="000B528D"/>
    <w:rsid w:val="000C73B6"/>
    <w:rsid w:val="000D0D6F"/>
    <w:rsid w:val="000E6BEA"/>
    <w:rsid w:val="000F02B8"/>
    <w:rsid w:val="000F5156"/>
    <w:rsid w:val="00105B3D"/>
    <w:rsid w:val="00106148"/>
    <w:rsid w:val="001073E2"/>
    <w:rsid w:val="0011368E"/>
    <w:rsid w:val="001221E0"/>
    <w:rsid w:val="00133776"/>
    <w:rsid w:val="00147070"/>
    <w:rsid w:val="00150382"/>
    <w:rsid w:val="0015218E"/>
    <w:rsid w:val="001705D6"/>
    <w:rsid w:val="00193FB1"/>
    <w:rsid w:val="001A045D"/>
    <w:rsid w:val="001A2B21"/>
    <w:rsid w:val="001A3DB0"/>
    <w:rsid w:val="001A437A"/>
    <w:rsid w:val="001B0C91"/>
    <w:rsid w:val="001B1585"/>
    <w:rsid w:val="001B16D8"/>
    <w:rsid w:val="001C0AFF"/>
    <w:rsid w:val="001C3F0F"/>
    <w:rsid w:val="001D69D6"/>
    <w:rsid w:val="001F58FD"/>
    <w:rsid w:val="00204FDE"/>
    <w:rsid w:val="0021228E"/>
    <w:rsid w:val="00223071"/>
    <w:rsid w:val="0022342C"/>
    <w:rsid w:val="00234691"/>
    <w:rsid w:val="00237326"/>
    <w:rsid w:val="002405D4"/>
    <w:rsid w:val="00247AC0"/>
    <w:rsid w:val="0025001E"/>
    <w:rsid w:val="00257D00"/>
    <w:rsid w:val="00262A7B"/>
    <w:rsid w:val="0026795F"/>
    <w:rsid w:val="00270112"/>
    <w:rsid w:val="00280DEC"/>
    <w:rsid w:val="002900DF"/>
    <w:rsid w:val="00297029"/>
    <w:rsid w:val="00297A2A"/>
    <w:rsid w:val="002A7E87"/>
    <w:rsid w:val="002B62CD"/>
    <w:rsid w:val="002B79B8"/>
    <w:rsid w:val="002C04DB"/>
    <w:rsid w:val="002D119E"/>
    <w:rsid w:val="002D1F72"/>
    <w:rsid w:val="003035B6"/>
    <w:rsid w:val="00321E8D"/>
    <w:rsid w:val="003234D5"/>
    <w:rsid w:val="0032594C"/>
    <w:rsid w:val="00334801"/>
    <w:rsid w:val="00345499"/>
    <w:rsid w:val="00352CF7"/>
    <w:rsid w:val="00356EA7"/>
    <w:rsid w:val="00357774"/>
    <w:rsid w:val="00374091"/>
    <w:rsid w:val="003976DC"/>
    <w:rsid w:val="003A0A45"/>
    <w:rsid w:val="003B13F6"/>
    <w:rsid w:val="003B1704"/>
    <w:rsid w:val="003C01A6"/>
    <w:rsid w:val="003C66A1"/>
    <w:rsid w:val="003D0990"/>
    <w:rsid w:val="003D75B8"/>
    <w:rsid w:val="003E759A"/>
    <w:rsid w:val="003F17B6"/>
    <w:rsid w:val="003F389C"/>
    <w:rsid w:val="00401DB4"/>
    <w:rsid w:val="00401ED9"/>
    <w:rsid w:val="0040353D"/>
    <w:rsid w:val="004101E4"/>
    <w:rsid w:val="00414669"/>
    <w:rsid w:val="00440F13"/>
    <w:rsid w:val="00450290"/>
    <w:rsid w:val="0045733B"/>
    <w:rsid w:val="00462943"/>
    <w:rsid w:val="00466189"/>
    <w:rsid w:val="00466E8C"/>
    <w:rsid w:val="00491303"/>
    <w:rsid w:val="004971AC"/>
    <w:rsid w:val="004A7482"/>
    <w:rsid w:val="004C1B9D"/>
    <w:rsid w:val="004D7410"/>
    <w:rsid w:val="004F0B26"/>
    <w:rsid w:val="004F18D4"/>
    <w:rsid w:val="004F43E3"/>
    <w:rsid w:val="00507B4D"/>
    <w:rsid w:val="005326D6"/>
    <w:rsid w:val="00533936"/>
    <w:rsid w:val="0055447B"/>
    <w:rsid w:val="005567E7"/>
    <w:rsid w:val="00565F53"/>
    <w:rsid w:val="0057039C"/>
    <w:rsid w:val="005724D3"/>
    <w:rsid w:val="00574EA7"/>
    <w:rsid w:val="0059040B"/>
    <w:rsid w:val="005939AB"/>
    <w:rsid w:val="00594902"/>
    <w:rsid w:val="005A19FA"/>
    <w:rsid w:val="005A4FE3"/>
    <w:rsid w:val="005B37EC"/>
    <w:rsid w:val="005B6634"/>
    <w:rsid w:val="005D49A0"/>
    <w:rsid w:val="005E427A"/>
    <w:rsid w:val="005E5326"/>
    <w:rsid w:val="00610324"/>
    <w:rsid w:val="00614024"/>
    <w:rsid w:val="006144D7"/>
    <w:rsid w:val="00614F6A"/>
    <w:rsid w:val="006159D1"/>
    <w:rsid w:val="00625CF2"/>
    <w:rsid w:val="0063535B"/>
    <w:rsid w:val="006357B2"/>
    <w:rsid w:val="00636017"/>
    <w:rsid w:val="006565BA"/>
    <w:rsid w:val="00656761"/>
    <w:rsid w:val="00662DE1"/>
    <w:rsid w:val="0069637A"/>
    <w:rsid w:val="006B5A41"/>
    <w:rsid w:val="006B5C11"/>
    <w:rsid w:val="006B70D5"/>
    <w:rsid w:val="006B71F7"/>
    <w:rsid w:val="006B7C61"/>
    <w:rsid w:val="006C2161"/>
    <w:rsid w:val="006C43A1"/>
    <w:rsid w:val="006C7C5D"/>
    <w:rsid w:val="006F29AE"/>
    <w:rsid w:val="00715D2C"/>
    <w:rsid w:val="00721358"/>
    <w:rsid w:val="00725382"/>
    <w:rsid w:val="0073245C"/>
    <w:rsid w:val="00733D2D"/>
    <w:rsid w:val="00740D91"/>
    <w:rsid w:val="00745176"/>
    <w:rsid w:val="00745623"/>
    <w:rsid w:val="007521D7"/>
    <w:rsid w:val="00752DAF"/>
    <w:rsid w:val="007566A7"/>
    <w:rsid w:val="007661DD"/>
    <w:rsid w:val="007731D5"/>
    <w:rsid w:val="007770BC"/>
    <w:rsid w:val="00780356"/>
    <w:rsid w:val="007977FB"/>
    <w:rsid w:val="007C157B"/>
    <w:rsid w:val="007D738C"/>
    <w:rsid w:val="007F4F41"/>
    <w:rsid w:val="00811CCA"/>
    <w:rsid w:val="0082596D"/>
    <w:rsid w:val="00842DB0"/>
    <w:rsid w:val="00843463"/>
    <w:rsid w:val="00847D07"/>
    <w:rsid w:val="00847DC6"/>
    <w:rsid w:val="00855166"/>
    <w:rsid w:val="008574A7"/>
    <w:rsid w:val="00861399"/>
    <w:rsid w:val="008652A7"/>
    <w:rsid w:val="0087188F"/>
    <w:rsid w:val="0087513C"/>
    <w:rsid w:val="00882FBC"/>
    <w:rsid w:val="00891921"/>
    <w:rsid w:val="008A525C"/>
    <w:rsid w:val="008B6F17"/>
    <w:rsid w:val="008C11A3"/>
    <w:rsid w:val="008D49A7"/>
    <w:rsid w:val="008E7B8C"/>
    <w:rsid w:val="008F302C"/>
    <w:rsid w:val="008F7665"/>
    <w:rsid w:val="00903EFC"/>
    <w:rsid w:val="009130AE"/>
    <w:rsid w:val="00924690"/>
    <w:rsid w:val="00931D9C"/>
    <w:rsid w:val="009568F3"/>
    <w:rsid w:val="009615A4"/>
    <w:rsid w:val="00964BAF"/>
    <w:rsid w:val="00972AA2"/>
    <w:rsid w:val="009864D9"/>
    <w:rsid w:val="009A7E4A"/>
    <w:rsid w:val="009B046D"/>
    <w:rsid w:val="009D23B4"/>
    <w:rsid w:val="009F2448"/>
    <w:rsid w:val="009F7476"/>
    <w:rsid w:val="00A14D11"/>
    <w:rsid w:val="00A16F00"/>
    <w:rsid w:val="00A250DB"/>
    <w:rsid w:val="00A57C97"/>
    <w:rsid w:val="00A730F1"/>
    <w:rsid w:val="00A77BF7"/>
    <w:rsid w:val="00A90DC9"/>
    <w:rsid w:val="00A96E52"/>
    <w:rsid w:val="00AA33E8"/>
    <w:rsid w:val="00AA42B9"/>
    <w:rsid w:val="00AA7798"/>
    <w:rsid w:val="00AB3929"/>
    <w:rsid w:val="00AB5DA2"/>
    <w:rsid w:val="00AC4324"/>
    <w:rsid w:val="00AC5047"/>
    <w:rsid w:val="00AC5C5F"/>
    <w:rsid w:val="00AE5096"/>
    <w:rsid w:val="00B06A9B"/>
    <w:rsid w:val="00B23822"/>
    <w:rsid w:val="00B3528D"/>
    <w:rsid w:val="00B4501D"/>
    <w:rsid w:val="00B50993"/>
    <w:rsid w:val="00B635EB"/>
    <w:rsid w:val="00B70098"/>
    <w:rsid w:val="00B807F7"/>
    <w:rsid w:val="00BA225D"/>
    <w:rsid w:val="00BA4B3E"/>
    <w:rsid w:val="00BA7C29"/>
    <w:rsid w:val="00C00EF5"/>
    <w:rsid w:val="00C014C6"/>
    <w:rsid w:val="00C03C84"/>
    <w:rsid w:val="00C138A2"/>
    <w:rsid w:val="00C25EE2"/>
    <w:rsid w:val="00C42CC2"/>
    <w:rsid w:val="00C56019"/>
    <w:rsid w:val="00C627D3"/>
    <w:rsid w:val="00C62D76"/>
    <w:rsid w:val="00C659C9"/>
    <w:rsid w:val="00C666A7"/>
    <w:rsid w:val="00C66DBC"/>
    <w:rsid w:val="00C70A95"/>
    <w:rsid w:val="00C8478E"/>
    <w:rsid w:val="00C84866"/>
    <w:rsid w:val="00CA0578"/>
    <w:rsid w:val="00CA60BF"/>
    <w:rsid w:val="00CB0978"/>
    <w:rsid w:val="00CC1FFA"/>
    <w:rsid w:val="00CC4B94"/>
    <w:rsid w:val="00CC5729"/>
    <w:rsid w:val="00CD766D"/>
    <w:rsid w:val="00CF3BB2"/>
    <w:rsid w:val="00D016E7"/>
    <w:rsid w:val="00D1312C"/>
    <w:rsid w:val="00D16D28"/>
    <w:rsid w:val="00D463B1"/>
    <w:rsid w:val="00D46DF1"/>
    <w:rsid w:val="00D62B8C"/>
    <w:rsid w:val="00D651D2"/>
    <w:rsid w:val="00D732B6"/>
    <w:rsid w:val="00D92008"/>
    <w:rsid w:val="00D96989"/>
    <w:rsid w:val="00D9703A"/>
    <w:rsid w:val="00DA09FD"/>
    <w:rsid w:val="00DA2267"/>
    <w:rsid w:val="00DB08AD"/>
    <w:rsid w:val="00DC097C"/>
    <w:rsid w:val="00DC6163"/>
    <w:rsid w:val="00DD3E1E"/>
    <w:rsid w:val="00DE15EF"/>
    <w:rsid w:val="00DE48BC"/>
    <w:rsid w:val="00DE6FE4"/>
    <w:rsid w:val="00DF29C3"/>
    <w:rsid w:val="00E10579"/>
    <w:rsid w:val="00E1373D"/>
    <w:rsid w:val="00E15386"/>
    <w:rsid w:val="00E32E0B"/>
    <w:rsid w:val="00E3509E"/>
    <w:rsid w:val="00E43EBA"/>
    <w:rsid w:val="00E47C04"/>
    <w:rsid w:val="00E5334B"/>
    <w:rsid w:val="00E87F8D"/>
    <w:rsid w:val="00E970C1"/>
    <w:rsid w:val="00EA03C9"/>
    <w:rsid w:val="00EA37F8"/>
    <w:rsid w:val="00EA65B3"/>
    <w:rsid w:val="00EB4BAA"/>
    <w:rsid w:val="00ED53C7"/>
    <w:rsid w:val="00ED7FD9"/>
    <w:rsid w:val="00EE6C24"/>
    <w:rsid w:val="00EF43B3"/>
    <w:rsid w:val="00EF670F"/>
    <w:rsid w:val="00F02EFD"/>
    <w:rsid w:val="00F050AA"/>
    <w:rsid w:val="00F16A7B"/>
    <w:rsid w:val="00F278DD"/>
    <w:rsid w:val="00F4296E"/>
    <w:rsid w:val="00F42CF9"/>
    <w:rsid w:val="00F43E29"/>
    <w:rsid w:val="00F57E1F"/>
    <w:rsid w:val="00F65A4F"/>
    <w:rsid w:val="00F66644"/>
    <w:rsid w:val="00F7515D"/>
    <w:rsid w:val="00F83C6D"/>
    <w:rsid w:val="00F87DF8"/>
    <w:rsid w:val="00F93B0D"/>
    <w:rsid w:val="00FD4FE2"/>
    <w:rsid w:val="00FF4688"/>
    <w:rsid w:val="00FF5C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7011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F5156"/>
    <w:rPr>
      <w:rFonts w:ascii="Tahoma" w:hAnsi="Tahoma" w:cs="Tahoma"/>
      <w:sz w:val="16"/>
      <w:szCs w:val="16"/>
    </w:rPr>
  </w:style>
  <w:style w:type="paragraph" w:styleId="Header">
    <w:name w:val="header"/>
    <w:basedOn w:val="Normal"/>
    <w:link w:val="HeaderChar"/>
    <w:rsid w:val="002900DF"/>
    <w:pPr>
      <w:tabs>
        <w:tab w:val="center" w:pos="4680"/>
        <w:tab w:val="right" w:pos="9360"/>
      </w:tabs>
    </w:pPr>
  </w:style>
  <w:style w:type="character" w:customStyle="1" w:styleId="HeaderChar">
    <w:name w:val="Header Char"/>
    <w:basedOn w:val="DefaultParagraphFont"/>
    <w:link w:val="Header"/>
    <w:rsid w:val="002900DF"/>
    <w:rPr>
      <w:sz w:val="24"/>
      <w:szCs w:val="24"/>
    </w:rPr>
  </w:style>
  <w:style w:type="paragraph" w:styleId="Footer">
    <w:name w:val="footer"/>
    <w:basedOn w:val="Normal"/>
    <w:link w:val="FooterChar"/>
    <w:uiPriority w:val="99"/>
    <w:rsid w:val="002900DF"/>
    <w:pPr>
      <w:tabs>
        <w:tab w:val="center" w:pos="4680"/>
        <w:tab w:val="right" w:pos="9360"/>
      </w:tabs>
    </w:pPr>
  </w:style>
  <w:style w:type="character" w:customStyle="1" w:styleId="FooterChar">
    <w:name w:val="Footer Char"/>
    <w:basedOn w:val="DefaultParagraphFont"/>
    <w:link w:val="Footer"/>
    <w:uiPriority w:val="99"/>
    <w:rsid w:val="002900DF"/>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7011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F5156"/>
    <w:rPr>
      <w:rFonts w:ascii="Tahoma" w:hAnsi="Tahoma" w:cs="Tahoma"/>
      <w:sz w:val="16"/>
      <w:szCs w:val="16"/>
    </w:rPr>
  </w:style>
  <w:style w:type="paragraph" w:styleId="Header">
    <w:name w:val="header"/>
    <w:basedOn w:val="Normal"/>
    <w:link w:val="HeaderChar"/>
    <w:rsid w:val="002900DF"/>
    <w:pPr>
      <w:tabs>
        <w:tab w:val="center" w:pos="4680"/>
        <w:tab w:val="right" w:pos="9360"/>
      </w:tabs>
    </w:pPr>
  </w:style>
  <w:style w:type="character" w:customStyle="1" w:styleId="HeaderChar">
    <w:name w:val="Header Char"/>
    <w:basedOn w:val="DefaultParagraphFont"/>
    <w:link w:val="Header"/>
    <w:rsid w:val="002900DF"/>
    <w:rPr>
      <w:sz w:val="24"/>
      <w:szCs w:val="24"/>
    </w:rPr>
  </w:style>
  <w:style w:type="paragraph" w:styleId="Footer">
    <w:name w:val="footer"/>
    <w:basedOn w:val="Normal"/>
    <w:link w:val="FooterChar"/>
    <w:uiPriority w:val="99"/>
    <w:rsid w:val="002900DF"/>
    <w:pPr>
      <w:tabs>
        <w:tab w:val="center" w:pos="4680"/>
        <w:tab w:val="right" w:pos="9360"/>
      </w:tabs>
    </w:pPr>
  </w:style>
  <w:style w:type="character" w:customStyle="1" w:styleId="FooterChar">
    <w:name w:val="Footer Char"/>
    <w:basedOn w:val="DefaultParagraphFont"/>
    <w:link w:val="Footer"/>
    <w:uiPriority w:val="99"/>
    <w:rsid w:val="002900D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589516">
      <w:bodyDiv w:val="1"/>
      <w:marLeft w:val="0"/>
      <w:marRight w:val="0"/>
      <w:marTop w:val="0"/>
      <w:marBottom w:val="0"/>
      <w:divBdr>
        <w:top w:val="none" w:sz="0" w:space="0" w:color="auto"/>
        <w:left w:val="none" w:sz="0" w:space="0" w:color="auto"/>
        <w:bottom w:val="none" w:sz="0" w:space="0" w:color="auto"/>
        <w:right w:val="none" w:sz="0" w:space="0" w:color="auto"/>
      </w:divBdr>
    </w:div>
    <w:div w:id="602500147">
      <w:bodyDiv w:val="1"/>
      <w:marLeft w:val="0"/>
      <w:marRight w:val="0"/>
      <w:marTop w:val="0"/>
      <w:marBottom w:val="0"/>
      <w:divBdr>
        <w:top w:val="none" w:sz="0" w:space="0" w:color="auto"/>
        <w:left w:val="none" w:sz="0" w:space="0" w:color="auto"/>
        <w:bottom w:val="none" w:sz="0" w:space="0" w:color="auto"/>
        <w:right w:val="none" w:sz="0" w:space="0" w:color="auto"/>
      </w:divBdr>
    </w:div>
    <w:div w:id="794983391">
      <w:bodyDiv w:val="1"/>
      <w:marLeft w:val="0"/>
      <w:marRight w:val="0"/>
      <w:marTop w:val="0"/>
      <w:marBottom w:val="0"/>
      <w:divBdr>
        <w:top w:val="none" w:sz="0" w:space="0" w:color="auto"/>
        <w:left w:val="none" w:sz="0" w:space="0" w:color="auto"/>
        <w:bottom w:val="none" w:sz="0" w:space="0" w:color="auto"/>
        <w:right w:val="none" w:sz="0" w:space="0" w:color="auto"/>
      </w:divBdr>
    </w:div>
    <w:div w:id="972950223">
      <w:bodyDiv w:val="1"/>
      <w:marLeft w:val="0"/>
      <w:marRight w:val="0"/>
      <w:marTop w:val="0"/>
      <w:marBottom w:val="0"/>
      <w:divBdr>
        <w:top w:val="none" w:sz="0" w:space="0" w:color="auto"/>
        <w:left w:val="none" w:sz="0" w:space="0" w:color="auto"/>
        <w:bottom w:val="none" w:sz="0" w:space="0" w:color="auto"/>
        <w:right w:val="none" w:sz="0" w:space="0" w:color="auto"/>
      </w:divBdr>
    </w:div>
    <w:div w:id="1416826993">
      <w:bodyDiv w:val="1"/>
      <w:marLeft w:val="0"/>
      <w:marRight w:val="0"/>
      <w:marTop w:val="0"/>
      <w:marBottom w:val="0"/>
      <w:divBdr>
        <w:top w:val="none" w:sz="0" w:space="0" w:color="auto"/>
        <w:left w:val="none" w:sz="0" w:space="0" w:color="auto"/>
        <w:bottom w:val="none" w:sz="0" w:space="0" w:color="auto"/>
        <w:right w:val="none" w:sz="0" w:space="0" w:color="auto"/>
      </w:divBdr>
    </w:div>
    <w:div w:id="1539851605">
      <w:bodyDiv w:val="1"/>
      <w:marLeft w:val="0"/>
      <w:marRight w:val="0"/>
      <w:marTop w:val="0"/>
      <w:marBottom w:val="0"/>
      <w:divBdr>
        <w:top w:val="none" w:sz="0" w:space="0" w:color="auto"/>
        <w:left w:val="none" w:sz="0" w:space="0" w:color="auto"/>
        <w:bottom w:val="none" w:sz="0" w:space="0" w:color="auto"/>
        <w:right w:val="none" w:sz="0" w:space="0" w:color="auto"/>
      </w:divBdr>
    </w:div>
    <w:div w:id="1821387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1E9C48-E83E-48AA-91CB-1CA238612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1339</Words>
  <Characters>7636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RESULTS AND DISCUSSION</vt:lpstr>
    </vt:vector>
  </TitlesOfParts>
  <Company>Agronomy-LSU</Company>
  <LinksUpToDate>false</LinksUpToDate>
  <CharactersWithSpaces>8958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RESULTS AND DISCUSSION</dc:title>
  <dc:creator>me</dc:creator>
  <cp:lastModifiedBy>Arceneaux, Kelly J.</cp:lastModifiedBy>
  <cp:revision>13</cp:revision>
  <cp:lastPrinted>2012-09-13T11:33:00Z</cp:lastPrinted>
  <dcterms:created xsi:type="dcterms:W3CDTF">2012-08-24T20:53:00Z</dcterms:created>
  <dcterms:modified xsi:type="dcterms:W3CDTF">2012-09-18T19:01:00Z</dcterms:modified>
</cp:coreProperties>
</file>